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A985" w14:textId="77777777" w:rsidR="00815FD0" w:rsidRDefault="00000000">
      <w:pPr>
        <w:spacing w:before="45" w:after="70" w:line="250" w:lineRule="auto"/>
        <w:jc w:val="center"/>
      </w:pPr>
      <w:r>
        <w:rPr>
          <w:rFonts w:cs="FrankRuehl" w:hint="cs"/>
          <w:szCs w:val="32"/>
          <w:rtl/>
        </w:rPr>
        <w:t>חוק חופש המידע, תשנ"ח-1998</w:t>
      </w:r>
    </w:p>
    <w:p w14:paraId="57753279" w14:textId="77777777" w:rsidR="00815FD0" w:rsidRDefault="00000000">
      <w:pPr>
        <w:spacing w:before="45" w:after="70" w:line="250" w:lineRule="auto"/>
        <w:jc w:val="center"/>
      </w:pPr>
      <w:r>
        <w:rPr>
          <w:rFonts w:cs="FrankRuehl" w:hint="cs"/>
          <w:szCs w:val="32"/>
          <w:rtl/>
        </w:rPr>
        <w:t>תוכן ענינים</w:t>
      </w:r>
    </w:p>
    <w:tbl>
      <w:tblPr>
        <w:tblW w:w="5000" w:type="pct"/>
        <w:tblInd w:w="10" w:type="dxa"/>
        <w:tblCellMar>
          <w:left w:w="10" w:type="dxa"/>
          <w:right w:w="10" w:type="dxa"/>
        </w:tblCellMar>
        <w:tblLook w:val="04A0" w:firstRow="1" w:lastRow="0" w:firstColumn="1" w:lastColumn="0" w:noHBand="0" w:noVBand="1"/>
      </w:tblPr>
      <w:tblGrid>
        <w:gridCol w:w="508"/>
        <w:gridCol w:w="6609"/>
        <w:gridCol w:w="1356"/>
      </w:tblGrid>
      <w:tr w:rsidR="00815FD0" w14:paraId="7BC4FF8D" w14:textId="77777777">
        <w:tblPrEx>
          <w:tblCellMar>
            <w:top w:w="0" w:type="dxa"/>
            <w:bottom w:w="0" w:type="dxa"/>
          </w:tblCellMar>
        </w:tblPrEx>
        <w:tc>
          <w:tcPr>
            <w:tcW w:w="300" w:type="pct"/>
          </w:tcPr>
          <w:p w14:paraId="461E4005" w14:textId="77777777" w:rsidR="00815FD0" w:rsidRDefault="00000000">
            <w:pPr>
              <w:spacing w:before="45" w:after="5" w:line="250" w:lineRule="auto"/>
              <w:rPr>
                <w:rFonts w:cs="Times New Roman"/>
                <w:rtl/>
              </w:rPr>
            </w:pPr>
            <w:hyperlink w:anchor="h1">
              <w:r>
                <w:rPr>
                  <w:rFonts w:cs="Times New Roman" w:hint="cs"/>
                  <w:color w:val="0000FE"/>
                  <w:u w:val="single"/>
                  <w:rtl/>
                </w:rPr>
                <w:t>Go</w:t>
              </w:r>
            </w:hyperlink>
          </w:p>
        </w:tc>
        <w:tc>
          <w:tcPr>
            <w:tcW w:w="0" w:type="auto"/>
          </w:tcPr>
          <w:p w14:paraId="118AE785" w14:textId="77777777" w:rsidR="00815FD0" w:rsidRDefault="00000000">
            <w:pPr>
              <w:spacing w:before="45" w:after="5" w:line="250" w:lineRule="auto"/>
            </w:pPr>
            <w:r>
              <w:rPr>
                <w:rFonts w:cs="Times New Roman" w:hint="cs"/>
                <w:rtl/>
              </w:rPr>
              <w:t>חופש מידע</w:t>
            </w:r>
          </w:p>
        </w:tc>
        <w:tc>
          <w:tcPr>
            <w:tcW w:w="800" w:type="pct"/>
          </w:tcPr>
          <w:p w14:paraId="18E09BC8" w14:textId="77777777" w:rsidR="00815FD0" w:rsidRDefault="00000000">
            <w:pPr>
              <w:spacing w:before="45" w:after="5" w:line="250" w:lineRule="auto"/>
            </w:pPr>
            <w:r>
              <w:rPr>
                <w:rFonts w:cs="Times New Roman" w:hint="cs"/>
                <w:rtl/>
              </w:rPr>
              <w:t>סעיף 1</w:t>
            </w:r>
          </w:p>
        </w:tc>
      </w:tr>
      <w:tr w:rsidR="00815FD0" w14:paraId="07C8101F" w14:textId="77777777">
        <w:tblPrEx>
          <w:tblCellMar>
            <w:top w:w="0" w:type="dxa"/>
            <w:bottom w:w="0" w:type="dxa"/>
          </w:tblCellMar>
        </w:tblPrEx>
        <w:tc>
          <w:tcPr>
            <w:tcW w:w="300" w:type="pct"/>
          </w:tcPr>
          <w:p w14:paraId="4F8CB164" w14:textId="77777777" w:rsidR="00815FD0" w:rsidRDefault="00000000">
            <w:pPr>
              <w:spacing w:before="45" w:after="5" w:line="250" w:lineRule="auto"/>
            </w:pPr>
            <w:hyperlink w:anchor="h2">
              <w:r>
                <w:rPr>
                  <w:rFonts w:cs="Times New Roman" w:hint="cs"/>
                  <w:color w:val="0000FE"/>
                  <w:u w:val="single"/>
                  <w:rtl/>
                </w:rPr>
                <w:t>Go</w:t>
              </w:r>
            </w:hyperlink>
          </w:p>
        </w:tc>
        <w:tc>
          <w:tcPr>
            <w:tcW w:w="0" w:type="auto"/>
          </w:tcPr>
          <w:p w14:paraId="637E3C31" w14:textId="77777777" w:rsidR="00815FD0" w:rsidRDefault="00000000">
            <w:pPr>
              <w:spacing w:before="45" w:after="5" w:line="250" w:lineRule="auto"/>
            </w:pPr>
            <w:r>
              <w:rPr>
                <w:rFonts w:cs="Times New Roman" w:hint="cs"/>
                <w:rtl/>
              </w:rPr>
              <w:t>הגדרות</w:t>
            </w:r>
          </w:p>
        </w:tc>
        <w:tc>
          <w:tcPr>
            <w:tcW w:w="800" w:type="pct"/>
          </w:tcPr>
          <w:p w14:paraId="7CD80F18" w14:textId="77777777" w:rsidR="00815FD0" w:rsidRDefault="00000000">
            <w:pPr>
              <w:spacing w:before="45" w:after="5" w:line="250" w:lineRule="auto"/>
            </w:pPr>
            <w:r>
              <w:rPr>
                <w:rFonts w:cs="Times New Roman" w:hint="cs"/>
                <w:rtl/>
              </w:rPr>
              <w:t>סעיף 2</w:t>
            </w:r>
          </w:p>
        </w:tc>
      </w:tr>
      <w:tr w:rsidR="00815FD0" w14:paraId="016D6B3E" w14:textId="77777777">
        <w:tblPrEx>
          <w:tblCellMar>
            <w:top w:w="0" w:type="dxa"/>
            <w:bottom w:w="0" w:type="dxa"/>
          </w:tblCellMar>
        </w:tblPrEx>
        <w:tc>
          <w:tcPr>
            <w:tcW w:w="300" w:type="pct"/>
          </w:tcPr>
          <w:p w14:paraId="211F273E" w14:textId="77777777" w:rsidR="00815FD0" w:rsidRDefault="00000000">
            <w:pPr>
              <w:spacing w:before="45" w:after="5" w:line="250" w:lineRule="auto"/>
            </w:pPr>
            <w:hyperlink w:anchor="h3">
              <w:r>
                <w:rPr>
                  <w:rFonts w:cs="Times New Roman" w:hint="cs"/>
                  <w:color w:val="0000FE"/>
                  <w:u w:val="single"/>
                  <w:rtl/>
                </w:rPr>
                <w:t>Go</w:t>
              </w:r>
            </w:hyperlink>
          </w:p>
        </w:tc>
        <w:tc>
          <w:tcPr>
            <w:tcW w:w="0" w:type="auto"/>
          </w:tcPr>
          <w:p w14:paraId="43312EEB" w14:textId="77777777" w:rsidR="00815FD0" w:rsidRDefault="00000000">
            <w:pPr>
              <w:spacing w:before="45" w:after="5" w:line="250" w:lineRule="auto"/>
            </w:pPr>
            <w:r>
              <w:rPr>
                <w:rFonts w:cs="Times New Roman" w:hint="cs"/>
                <w:rtl/>
              </w:rPr>
              <w:t>ממונה</w:t>
            </w:r>
          </w:p>
        </w:tc>
        <w:tc>
          <w:tcPr>
            <w:tcW w:w="800" w:type="pct"/>
          </w:tcPr>
          <w:p w14:paraId="50E1CC74" w14:textId="77777777" w:rsidR="00815FD0" w:rsidRDefault="00000000">
            <w:pPr>
              <w:spacing w:before="45" w:after="5" w:line="250" w:lineRule="auto"/>
            </w:pPr>
            <w:r>
              <w:rPr>
                <w:rFonts w:cs="Times New Roman" w:hint="cs"/>
                <w:rtl/>
              </w:rPr>
              <w:t>סעיף 3</w:t>
            </w:r>
          </w:p>
        </w:tc>
      </w:tr>
      <w:tr w:rsidR="00815FD0" w14:paraId="770F21CF" w14:textId="77777777">
        <w:tblPrEx>
          <w:tblCellMar>
            <w:top w:w="0" w:type="dxa"/>
            <w:bottom w:w="0" w:type="dxa"/>
          </w:tblCellMar>
        </w:tblPrEx>
        <w:tc>
          <w:tcPr>
            <w:tcW w:w="300" w:type="pct"/>
          </w:tcPr>
          <w:p w14:paraId="5DB7C89E" w14:textId="77777777" w:rsidR="00815FD0" w:rsidRDefault="00000000">
            <w:pPr>
              <w:spacing w:before="45" w:after="5" w:line="250" w:lineRule="auto"/>
            </w:pPr>
            <w:hyperlink w:anchor="h4">
              <w:r>
                <w:rPr>
                  <w:rFonts w:cs="Times New Roman" w:hint="cs"/>
                  <w:color w:val="0000FE"/>
                  <w:u w:val="single"/>
                  <w:rtl/>
                </w:rPr>
                <w:t>Go</w:t>
              </w:r>
            </w:hyperlink>
          </w:p>
        </w:tc>
        <w:tc>
          <w:tcPr>
            <w:tcW w:w="0" w:type="auto"/>
          </w:tcPr>
          <w:p w14:paraId="6E983DD9" w14:textId="77777777" w:rsidR="00815FD0" w:rsidRDefault="00000000">
            <w:pPr>
              <w:spacing w:before="45" w:after="5" w:line="250" w:lineRule="auto"/>
            </w:pPr>
            <w:r>
              <w:rPr>
                <w:rFonts w:cs="Times New Roman" w:hint="cs"/>
                <w:rtl/>
              </w:rPr>
              <w:t>פרסום רשימת הרשויות הציבוריות</w:t>
            </w:r>
          </w:p>
        </w:tc>
        <w:tc>
          <w:tcPr>
            <w:tcW w:w="800" w:type="pct"/>
          </w:tcPr>
          <w:p w14:paraId="61899B13" w14:textId="77777777" w:rsidR="00815FD0" w:rsidRDefault="00000000">
            <w:pPr>
              <w:spacing w:before="45" w:after="5" w:line="250" w:lineRule="auto"/>
            </w:pPr>
            <w:r>
              <w:rPr>
                <w:rFonts w:cs="Times New Roman" w:hint="cs"/>
                <w:rtl/>
              </w:rPr>
              <w:t>סעיף 4</w:t>
            </w:r>
          </w:p>
        </w:tc>
      </w:tr>
      <w:tr w:rsidR="00815FD0" w14:paraId="357D1287" w14:textId="77777777">
        <w:tblPrEx>
          <w:tblCellMar>
            <w:top w:w="0" w:type="dxa"/>
            <w:bottom w:w="0" w:type="dxa"/>
          </w:tblCellMar>
        </w:tblPrEx>
        <w:tc>
          <w:tcPr>
            <w:tcW w:w="300" w:type="pct"/>
          </w:tcPr>
          <w:p w14:paraId="1A90F059" w14:textId="77777777" w:rsidR="00815FD0" w:rsidRDefault="00000000">
            <w:pPr>
              <w:spacing w:before="45" w:after="5" w:line="250" w:lineRule="auto"/>
            </w:pPr>
            <w:hyperlink w:anchor="h5">
              <w:r>
                <w:rPr>
                  <w:rFonts w:cs="Times New Roman" w:hint="cs"/>
                  <w:color w:val="0000FE"/>
                  <w:u w:val="single"/>
                  <w:rtl/>
                </w:rPr>
                <w:t>Go</w:t>
              </w:r>
            </w:hyperlink>
          </w:p>
        </w:tc>
        <w:tc>
          <w:tcPr>
            <w:tcW w:w="0" w:type="auto"/>
          </w:tcPr>
          <w:p w14:paraId="45613A68" w14:textId="77777777" w:rsidR="00815FD0" w:rsidRDefault="00000000">
            <w:pPr>
              <w:spacing w:before="45" w:after="5" w:line="250" w:lineRule="auto"/>
            </w:pPr>
            <w:r>
              <w:rPr>
                <w:rFonts w:cs="Times New Roman" w:hint="cs"/>
                <w:rtl/>
              </w:rPr>
              <w:t>דוח תקופתי</w:t>
            </w:r>
          </w:p>
        </w:tc>
        <w:tc>
          <w:tcPr>
            <w:tcW w:w="800" w:type="pct"/>
          </w:tcPr>
          <w:p w14:paraId="3E0A8AD6" w14:textId="77777777" w:rsidR="00815FD0" w:rsidRDefault="00000000">
            <w:pPr>
              <w:spacing w:before="45" w:after="5" w:line="250" w:lineRule="auto"/>
            </w:pPr>
            <w:r>
              <w:rPr>
                <w:rFonts w:cs="Times New Roman" w:hint="cs"/>
                <w:rtl/>
              </w:rPr>
              <w:t>סעיף 5</w:t>
            </w:r>
          </w:p>
        </w:tc>
      </w:tr>
      <w:tr w:rsidR="00815FD0" w14:paraId="467ADEB2" w14:textId="77777777">
        <w:tblPrEx>
          <w:tblCellMar>
            <w:top w:w="0" w:type="dxa"/>
            <w:bottom w:w="0" w:type="dxa"/>
          </w:tblCellMar>
        </w:tblPrEx>
        <w:tc>
          <w:tcPr>
            <w:tcW w:w="300" w:type="pct"/>
          </w:tcPr>
          <w:p w14:paraId="1A3C9645" w14:textId="77777777" w:rsidR="00815FD0" w:rsidRDefault="00000000">
            <w:pPr>
              <w:spacing w:before="45" w:after="5" w:line="250" w:lineRule="auto"/>
            </w:pPr>
            <w:hyperlink w:anchor="h6">
              <w:r>
                <w:rPr>
                  <w:rFonts w:cs="Times New Roman" w:hint="cs"/>
                  <w:color w:val="0000FE"/>
                  <w:u w:val="single"/>
                  <w:rtl/>
                </w:rPr>
                <w:t>Go</w:t>
              </w:r>
            </w:hyperlink>
          </w:p>
        </w:tc>
        <w:tc>
          <w:tcPr>
            <w:tcW w:w="0" w:type="auto"/>
          </w:tcPr>
          <w:p w14:paraId="215D84A6" w14:textId="77777777" w:rsidR="00815FD0" w:rsidRDefault="00000000">
            <w:pPr>
              <w:spacing w:before="45" w:after="5" w:line="250" w:lineRule="auto"/>
            </w:pPr>
            <w:r>
              <w:rPr>
                <w:rFonts w:cs="Times New Roman" w:hint="cs"/>
                <w:rtl/>
              </w:rPr>
              <w:t>הנחיות מינהליות וחוקי עזר</w:t>
            </w:r>
          </w:p>
        </w:tc>
        <w:tc>
          <w:tcPr>
            <w:tcW w:w="800" w:type="pct"/>
          </w:tcPr>
          <w:p w14:paraId="1BB694E5" w14:textId="77777777" w:rsidR="00815FD0" w:rsidRDefault="00000000">
            <w:pPr>
              <w:spacing w:before="45" w:after="5" w:line="250" w:lineRule="auto"/>
            </w:pPr>
            <w:r>
              <w:rPr>
                <w:rFonts w:cs="Times New Roman" w:hint="cs"/>
                <w:rtl/>
              </w:rPr>
              <w:t>סעיף 6</w:t>
            </w:r>
          </w:p>
        </w:tc>
      </w:tr>
      <w:tr w:rsidR="00815FD0" w14:paraId="20E925A9" w14:textId="77777777">
        <w:tblPrEx>
          <w:tblCellMar>
            <w:top w:w="0" w:type="dxa"/>
            <w:bottom w:w="0" w:type="dxa"/>
          </w:tblCellMar>
        </w:tblPrEx>
        <w:tc>
          <w:tcPr>
            <w:tcW w:w="300" w:type="pct"/>
          </w:tcPr>
          <w:p w14:paraId="72BE33C5" w14:textId="77777777" w:rsidR="00815FD0" w:rsidRDefault="00000000">
            <w:pPr>
              <w:spacing w:before="45" w:after="5" w:line="250" w:lineRule="auto"/>
            </w:pPr>
            <w:hyperlink w:anchor="h7">
              <w:r>
                <w:rPr>
                  <w:rFonts w:cs="Times New Roman" w:hint="cs"/>
                  <w:color w:val="0000FE"/>
                  <w:u w:val="single"/>
                  <w:rtl/>
                </w:rPr>
                <w:t>Go</w:t>
              </w:r>
            </w:hyperlink>
          </w:p>
        </w:tc>
        <w:tc>
          <w:tcPr>
            <w:tcW w:w="0" w:type="auto"/>
          </w:tcPr>
          <w:p w14:paraId="05D4F5FF" w14:textId="77777777" w:rsidR="00815FD0" w:rsidRDefault="00000000">
            <w:pPr>
              <w:spacing w:before="45" w:after="5" w:line="250" w:lineRule="auto"/>
            </w:pPr>
            <w:r>
              <w:rPr>
                <w:rFonts w:cs="Times New Roman" w:hint="cs"/>
                <w:rtl/>
              </w:rPr>
              <w:t>מידע על איכות הסביבה</w:t>
            </w:r>
          </w:p>
        </w:tc>
        <w:tc>
          <w:tcPr>
            <w:tcW w:w="800" w:type="pct"/>
          </w:tcPr>
          <w:p w14:paraId="55EDDAA1" w14:textId="77777777" w:rsidR="00815FD0" w:rsidRDefault="00000000">
            <w:pPr>
              <w:spacing w:before="45" w:after="5" w:line="250" w:lineRule="auto"/>
            </w:pPr>
            <w:r>
              <w:rPr>
                <w:rFonts w:cs="Times New Roman" w:hint="cs"/>
                <w:rtl/>
              </w:rPr>
              <w:t>סעיף 6א</w:t>
            </w:r>
          </w:p>
        </w:tc>
      </w:tr>
      <w:tr w:rsidR="00815FD0" w14:paraId="161C6B70" w14:textId="77777777">
        <w:tblPrEx>
          <w:tblCellMar>
            <w:top w:w="0" w:type="dxa"/>
            <w:bottom w:w="0" w:type="dxa"/>
          </w:tblCellMar>
        </w:tblPrEx>
        <w:tc>
          <w:tcPr>
            <w:tcW w:w="300" w:type="pct"/>
          </w:tcPr>
          <w:p w14:paraId="2B568FB3" w14:textId="77777777" w:rsidR="00815FD0" w:rsidRDefault="00000000">
            <w:pPr>
              <w:spacing w:before="45" w:after="5" w:line="250" w:lineRule="auto"/>
            </w:pPr>
            <w:hyperlink w:anchor="h8">
              <w:r>
                <w:rPr>
                  <w:rFonts w:cs="Times New Roman" w:hint="cs"/>
                  <w:color w:val="0000FE"/>
                  <w:u w:val="single"/>
                  <w:rtl/>
                </w:rPr>
                <w:t>Go</w:t>
              </w:r>
            </w:hyperlink>
          </w:p>
        </w:tc>
        <w:tc>
          <w:tcPr>
            <w:tcW w:w="0" w:type="auto"/>
          </w:tcPr>
          <w:p w14:paraId="32D38E8F" w14:textId="77777777" w:rsidR="00815FD0" w:rsidRDefault="00000000">
            <w:pPr>
              <w:spacing w:before="45" w:after="5" w:line="250" w:lineRule="auto"/>
            </w:pPr>
            <w:r>
              <w:rPr>
                <w:rFonts w:cs="Times New Roman" w:hint="cs"/>
                <w:rtl/>
              </w:rPr>
              <w:t>נוהל הגשת בקשות והטיפול בהן</w:t>
            </w:r>
          </w:p>
        </w:tc>
        <w:tc>
          <w:tcPr>
            <w:tcW w:w="800" w:type="pct"/>
          </w:tcPr>
          <w:p w14:paraId="7910D731" w14:textId="77777777" w:rsidR="00815FD0" w:rsidRDefault="00000000">
            <w:pPr>
              <w:spacing w:before="45" w:after="5" w:line="250" w:lineRule="auto"/>
            </w:pPr>
            <w:r>
              <w:rPr>
                <w:rFonts w:cs="Times New Roman" w:hint="cs"/>
                <w:rtl/>
              </w:rPr>
              <w:t>סעיף 7</w:t>
            </w:r>
          </w:p>
        </w:tc>
      </w:tr>
      <w:tr w:rsidR="00815FD0" w14:paraId="019741A8" w14:textId="77777777">
        <w:tblPrEx>
          <w:tblCellMar>
            <w:top w:w="0" w:type="dxa"/>
            <w:bottom w:w="0" w:type="dxa"/>
          </w:tblCellMar>
        </w:tblPrEx>
        <w:tc>
          <w:tcPr>
            <w:tcW w:w="300" w:type="pct"/>
          </w:tcPr>
          <w:p w14:paraId="5B526C3F" w14:textId="77777777" w:rsidR="00815FD0" w:rsidRDefault="00000000">
            <w:pPr>
              <w:spacing w:before="45" w:after="5" w:line="250" w:lineRule="auto"/>
            </w:pPr>
            <w:hyperlink w:anchor="h9">
              <w:r>
                <w:rPr>
                  <w:rFonts w:cs="Times New Roman" w:hint="cs"/>
                  <w:color w:val="0000FE"/>
                  <w:u w:val="single"/>
                  <w:rtl/>
                </w:rPr>
                <w:t>Go</w:t>
              </w:r>
            </w:hyperlink>
          </w:p>
        </w:tc>
        <w:tc>
          <w:tcPr>
            <w:tcW w:w="0" w:type="auto"/>
          </w:tcPr>
          <w:p w14:paraId="040F8E73" w14:textId="77777777" w:rsidR="00815FD0" w:rsidRDefault="00000000">
            <w:pPr>
              <w:spacing w:before="45" w:after="5" w:line="250" w:lineRule="auto"/>
            </w:pPr>
            <w:r>
              <w:rPr>
                <w:rFonts w:cs="Times New Roman" w:hint="cs"/>
                <w:rtl/>
              </w:rPr>
              <w:t>דחיית בקשות במקרים מסוימים</w:t>
            </w:r>
          </w:p>
        </w:tc>
        <w:tc>
          <w:tcPr>
            <w:tcW w:w="800" w:type="pct"/>
          </w:tcPr>
          <w:p w14:paraId="63D871EB" w14:textId="77777777" w:rsidR="00815FD0" w:rsidRDefault="00000000">
            <w:pPr>
              <w:spacing w:before="45" w:after="5" w:line="250" w:lineRule="auto"/>
            </w:pPr>
            <w:r>
              <w:rPr>
                <w:rFonts w:cs="Times New Roman" w:hint="cs"/>
                <w:rtl/>
              </w:rPr>
              <w:t>סעיף 8</w:t>
            </w:r>
          </w:p>
        </w:tc>
      </w:tr>
      <w:tr w:rsidR="00815FD0" w14:paraId="6C82DC94" w14:textId="77777777">
        <w:tblPrEx>
          <w:tblCellMar>
            <w:top w:w="0" w:type="dxa"/>
            <w:bottom w:w="0" w:type="dxa"/>
          </w:tblCellMar>
        </w:tblPrEx>
        <w:tc>
          <w:tcPr>
            <w:tcW w:w="300" w:type="pct"/>
          </w:tcPr>
          <w:p w14:paraId="22BE721F" w14:textId="77777777" w:rsidR="00815FD0" w:rsidRDefault="00000000">
            <w:pPr>
              <w:spacing w:before="45" w:after="5" w:line="250" w:lineRule="auto"/>
            </w:pPr>
            <w:hyperlink w:anchor="h10">
              <w:r>
                <w:rPr>
                  <w:rFonts w:cs="Times New Roman" w:hint="cs"/>
                  <w:color w:val="0000FE"/>
                  <w:u w:val="single"/>
                  <w:rtl/>
                </w:rPr>
                <w:t>Go</w:t>
              </w:r>
            </w:hyperlink>
          </w:p>
        </w:tc>
        <w:tc>
          <w:tcPr>
            <w:tcW w:w="0" w:type="auto"/>
          </w:tcPr>
          <w:p w14:paraId="7F2CC98E" w14:textId="77777777" w:rsidR="00815FD0" w:rsidRDefault="00000000">
            <w:pPr>
              <w:spacing w:before="45" w:after="5" w:line="250" w:lineRule="auto"/>
            </w:pPr>
            <w:r>
              <w:rPr>
                <w:rFonts w:cs="Times New Roman" w:hint="cs"/>
                <w:rtl/>
              </w:rPr>
              <w:t>מידע שאין למסרו או שאין חובה למסרו</w:t>
            </w:r>
          </w:p>
        </w:tc>
        <w:tc>
          <w:tcPr>
            <w:tcW w:w="800" w:type="pct"/>
          </w:tcPr>
          <w:p w14:paraId="743D3E10" w14:textId="77777777" w:rsidR="00815FD0" w:rsidRDefault="00000000">
            <w:pPr>
              <w:spacing w:before="45" w:after="5" w:line="250" w:lineRule="auto"/>
            </w:pPr>
            <w:r>
              <w:rPr>
                <w:rFonts w:cs="Times New Roman" w:hint="cs"/>
                <w:rtl/>
              </w:rPr>
              <w:t>סעיף 9</w:t>
            </w:r>
          </w:p>
        </w:tc>
      </w:tr>
      <w:tr w:rsidR="00815FD0" w14:paraId="62D4E5EA" w14:textId="77777777">
        <w:tblPrEx>
          <w:tblCellMar>
            <w:top w:w="0" w:type="dxa"/>
            <w:bottom w:w="0" w:type="dxa"/>
          </w:tblCellMar>
        </w:tblPrEx>
        <w:tc>
          <w:tcPr>
            <w:tcW w:w="300" w:type="pct"/>
          </w:tcPr>
          <w:p w14:paraId="735501D7" w14:textId="77777777" w:rsidR="00815FD0" w:rsidRDefault="00000000">
            <w:pPr>
              <w:spacing w:before="45" w:after="5" w:line="250" w:lineRule="auto"/>
            </w:pPr>
            <w:hyperlink w:anchor="h11">
              <w:r>
                <w:rPr>
                  <w:rFonts w:cs="Times New Roman" w:hint="cs"/>
                  <w:color w:val="0000FE"/>
                  <w:u w:val="single"/>
                  <w:rtl/>
                </w:rPr>
                <w:t>Go</w:t>
              </w:r>
            </w:hyperlink>
          </w:p>
        </w:tc>
        <w:tc>
          <w:tcPr>
            <w:tcW w:w="0" w:type="auto"/>
          </w:tcPr>
          <w:p w14:paraId="1F347A7C" w14:textId="77777777" w:rsidR="00815FD0" w:rsidRDefault="00000000">
            <w:pPr>
              <w:spacing w:before="45" w:after="5" w:line="250" w:lineRule="auto"/>
            </w:pPr>
            <w:r>
              <w:rPr>
                <w:rFonts w:cs="Times New Roman" w:hint="cs"/>
                <w:rtl/>
              </w:rPr>
              <w:t>שיקולי הרשות הציבורית</w:t>
            </w:r>
          </w:p>
        </w:tc>
        <w:tc>
          <w:tcPr>
            <w:tcW w:w="800" w:type="pct"/>
          </w:tcPr>
          <w:p w14:paraId="3B4BB7BF" w14:textId="77777777" w:rsidR="00815FD0" w:rsidRDefault="00000000">
            <w:pPr>
              <w:spacing w:before="45" w:after="5" w:line="250" w:lineRule="auto"/>
            </w:pPr>
            <w:r>
              <w:rPr>
                <w:rFonts w:cs="Times New Roman" w:hint="cs"/>
                <w:rtl/>
              </w:rPr>
              <w:t>סעיף 10</w:t>
            </w:r>
          </w:p>
        </w:tc>
      </w:tr>
      <w:tr w:rsidR="00815FD0" w14:paraId="20B25893" w14:textId="77777777">
        <w:tblPrEx>
          <w:tblCellMar>
            <w:top w:w="0" w:type="dxa"/>
            <w:bottom w:w="0" w:type="dxa"/>
          </w:tblCellMar>
        </w:tblPrEx>
        <w:tc>
          <w:tcPr>
            <w:tcW w:w="300" w:type="pct"/>
          </w:tcPr>
          <w:p w14:paraId="1C851F72" w14:textId="77777777" w:rsidR="00815FD0" w:rsidRDefault="00000000">
            <w:pPr>
              <w:spacing w:before="45" w:after="5" w:line="250" w:lineRule="auto"/>
            </w:pPr>
            <w:hyperlink w:anchor="h12">
              <w:r>
                <w:rPr>
                  <w:rFonts w:cs="Times New Roman" w:hint="cs"/>
                  <w:color w:val="0000FE"/>
                  <w:u w:val="single"/>
                  <w:rtl/>
                </w:rPr>
                <w:t>Go</w:t>
              </w:r>
            </w:hyperlink>
          </w:p>
        </w:tc>
        <w:tc>
          <w:tcPr>
            <w:tcW w:w="0" w:type="auto"/>
          </w:tcPr>
          <w:p w14:paraId="3A141F4C" w14:textId="77777777" w:rsidR="00815FD0" w:rsidRDefault="00000000">
            <w:pPr>
              <w:spacing w:before="45" w:after="5" w:line="250" w:lineRule="auto"/>
            </w:pPr>
            <w:r>
              <w:rPr>
                <w:rFonts w:cs="Times New Roman" w:hint="cs"/>
                <w:rtl/>
              </w:rPr>
              <w:t>מסירת מידע חלקי ומסירת מידע בתנאים</w:t>
            </w:r>
          </w:p>
        </w:tc>
        <w:tc>
          <w:tcPr>
            <w:tcW w:w="800" w:type="pct"/>
          </w:tcPr>
          <w:p w14:paraId="31017A01" w14:textId="77777777" w:rsidR="00815FD0" w:rsidRDefault="00000000">
            <w:pPr>
              <w:spacing w:before="45" w:after="5" w:line="250" w:lineRule="auto"/>
            </w:pPr>
            <w:r>
              <w:rPr>
                <w:rFonts w:cs="Times New Roman" w:hint="cs"/>
                <w:rtl/>
              </w:rPr>
              <w:t>סעיף 11</w:t>
            </w:r>
          </w:p>
        </w:tc>
      </w:tr>
      <w:tr w:rsidR="00815FD0" w14:paraId="04E99943" w14:textId="77777777">
        <w:tblPrEx>
          <w:tblCellMar>
            <w:top w:w="0" w:type="dxa"/>
            <w:bottom w:w="0" w:type="dxa"/>
          </w:tblCellMar>
        </w:tblPrEx>
        <w:tc>
          <w:tcPr>
            <w:tcW w:w="300" w:type="pct"/>
          </w:tcPr>
          <w:p w14:paraId="74FCBB91" w14:textId="77777777" w:rsidR="00815FD0" w:rsidRDefault="00000000">
            <w:pPr>
              <w:spacing w:before="45" w:after="5" w:line="250" w:lineRule="auto"/>
            </w:pPr>
            <w:hyperlink w:anchor="h13">
              <w:r>
                <w:rPr>
                  <w:rFonts w:cs="Times New Roman" w:hint="cs"/>
                  <w:color w:val="0000FE"/>
                  <w:u w:val="single"/>
                  <w:rtl/>
                </w:rPr>
                <w:t>Go</w:t>
              </w:r>
            </w:hyperlink>
          </w:p>
        </w:tc>
        <w:tc>
          <w:tcPr>
            <w:tcW w:w="0" w:type="auto"/>
          </w:tcPr>
          <w:p w14:paraId="1EB4A469" w14:textId="77777777" w:rsidR="00815FD0" w:rsidRDefault="00000000">
            <w:pPr>
              <w:spacing w:before="45" w:after="5" w:line="250" w:lineRule="auto"/>
            </w:pPr>
            <w:r>
              <w:rPr>
                <w:rFonts w:cs="Times New Roman" w:hint="cs"/>
                <w:rtl/>
              </w:rPr>
              <w:t>תחולה לגבי אדם שאינו אזרח או תושב</w:t>
            </w:r>
          </w:p>
        </w:tc>
        <w:tc>
          <w:tcPr>
            <w:tcW w:w="800" w:type="pct"/>
          </w:tcPr>
          <w:p w14:paraId="13141801" w14:textId="77777777" w:rsidR="00815FD0" w:rsidRDefault="00000000">
            <w:pPr>
              <w:spacing w:before="45" w:after="5" w:line="250" w:lineRule="auto"/>
            </w:pPr>
            <w:r>
              <w:rPr>
                <w:rFonts w:cs="Times New Roman" w:hint="cs"/>
                <w:rtl/>
              </w:rPr>
              <w:t>סעיף 12</w:t>
            </w:r>
          </w:p>
        </w:tc>
      </w:tr>
      <w:tr w:rsidR="00815FD0" w14:paraId="7B4529C1" w14:textId="77777777">
        <w:tblPrEx>
          <w:tblCellMar>
            <w:top w:w="0" w:type="dxa"/>
            <w:bottom w:w="0" w:type="dxa"/>
          </w:tblCellMar>
        </w:tblPrEx>
        <w:tc>
          <w:tcPr>
            <w:tcW w:w="300" w:type="pct"/>
          </w:tcPr>
          <w:p w14:paraId="10A949FA" w14:textId="77777777" w:rsidR="00815FD0" w:rsidRDefault="00000000">
            <w:pPr>
              <w:spacing w:before="45" w:after="5" w:line="250" w:lineRule="auto"/>
            </w:pPr>
            <w:hyperlink w:anchor="h14">
              <w:r>
                <w:rPr>
                  <w:rFonts w:cs="Times New Roman" w:hint="cs"/>
                  <w:color w:val="0000FE"/>
                  <w:u w:val="single"/>
                  <w:rtl/>
                </w:rPr>
                <w:t>Go</w:t>
              </w:r>
            </w:hyperlink>
          </w:p>
        </w:tc>
        <w:tc>
          <w:tcPr>
            <w:tcW w:w="0" w:type="auto"/>
          </w:tcPr>
          <w:p w14:paraId="4987BCDC" w14:textId="77777777" w:rsidR="00815FD0" w:rsidRDefault="00000000">
            <w:pPr>
              <w:spacing w:before="45" w:after="5" w:line="250" w:lineRule="auto"/>
            </w:pPr>
            <w:r>
              <w:rPr>
                <w:rFonts w:cs="Times New Roman" w:hint="cs"/>
                <w:rtl/>
              </w:rPr>
              <w:t>הגנה על צד שלישי</w:t>
            </w:r>
          </w:p>
        </w:tc>
        <w:tc>
          <w:tcPr>
            <w:tcW w:w="800" w:type="pct"/>
          </w:tcPr>
          <w:p w14:paraId="776510DF" w14:textId="77777777" w:rsidR="00815FD0" w:rsidRDefault="00000000">
            <w:pPr>
              <w:spacing w:before="45" w:after="5" w:line="250" w:lineRule="auto"/>
            </w:pPr>
            <w:r>
              <w:rPr>
                <w:rFonts w:cs="Times New Roman" w:hint="cs"/>
                <w:rtl/>
              </w:rPr>
              <w:t>סעיף 13</w:t>
            </w:r>
          </w:p>
        </w:tc>
      </w:tr>
      <w:tr w:rsidR="00815FD0" w14:paraId="3587CCEC" w14:textId="77777777">
        <w:tblPrEx>
          <w:tblCellMar>
            <w:top w:w="0" w:type="dxa"/>
            <w:bottom w:w="0" w:type="dxa"/>
          </w:tblCellMar>
        </w:tblPrEx>
        <w:tc>
          <w:tcPr>
            <w:tcW w:w="300" w:type="pct"/>
          </w:tcPr>
          <w:p w14:paraId="275FBCF0" w14:textId="77777777" w:rsidR="00815FD0" w:rsidRDefault="00000000">
            <w:pPr>
              <w:spacing w:before="45" w:after="5" w:line="250" w:lineRule="auto"/>
            </w:pPr>
            <w:hyperlink w:anchor="h15">
              <w:r>
                <w:rPr>
                  <w:rFonts w:cs="Times New Roman" w:hint="cs"/>
                  <w:color w:val="0000FE"/>
                  <w:u w:val="single"/>
                  <w:rtl/>
                </w:rPr>
                <w:t>Go</w:t>
              </w:r>
            </w:hyperlink>
          </w:p>
        </w:tc>
        <w:tc>
          <w:tcPr>
            <w:tcW w:w="0" w:type="auto"/>
          </w:tcPr>
          <w:p w14:paraId="1EE0055A" w14:textId="77777777" w:rsidR="00815FD0" w:rsidRDefault="00000000">
            <w:pPr>
              <w:spacing w:before="45" w:after="5" w:line="250" w:lineRule="auto"/>
            </w:pPr>
            <w:r>
              <w:rPr>
                <w:rFonts w:cs="Times New Roman" w:hint="cs"/>
                <w:rtl/>
              </w:rPr>
              <w:t>סייגים לתחולת החוק</w:t>
            </w:r>
          </w:p>
        </w:tc>
        <w:tc>
          <w:tcPr>
            <w:tcW w:w="800" w:type="pct"/>
          </w:tcPr>
          <w:p w14:paraId="133A1016" w14:textId="77777777" w:rsidR="00815FD0" w:rsidRDefault="00000000">
            <w:pPr>
              <w:spacing w:before="45" w:after="5" w:line="250" w:lineRule="auto"/>
            </w:pPr>
            <w:r>
              <w:rPr>
                <w:rFonts w:cs="Times New Roman" w:hint="cs"/>
                <w:rtl/>
              </w:rPr>
              <w:t>סעיף 14</w:t>
            </w:r>
          </w:p>
        </w:tc>
      </w:tr>
      <w:tr w:rsidR="00815FD0" w14:paraId="02515D20" w14:textId="77777777">
        <w:tblPrEx>
          <w:tblCellMar>
            <w:top w:w="0" w:type="dxa"/>
            <w:bottom w:w="0" w:type="dxa"/>
          </w:tblCellMar>
        </w:tblPrEx>
        <w:tc>
          <w:tcPr>
            <w:tcW w:w="300" w:type="pct"/>
          </w:tcPr>
          <w:p w14:paraId="35CD44AA" w14:textId="77777777" w:rsidR="00815FD0" w:rsidRDefault="00000000">
            <w:pPr>
              <w:spacing w:before="45" w:after="5" w:line="250" w:lineRule="auto"/>
            </w:pPr>
            <w:hyperlink w:anchor="h16">
              <w:r>
                <w:rPr>
                  <w:rFonts w:cs="Times New Roman" w:hint="cs"/>
                  <w:color w:val="0000FE"/>
                  <w:u w:val="single"/>
                  <w:rtl/>
                </w:rPr>
                <w:t>Go</w:t>
              </w:r>
            </w:hyperlink>
          </w:p>
        </w:tc>
        <w:tc>
          <w:tcPr>
            <w:tcW w:w="0" w:type="auto"/>
          </w:tcPr>
          <w:p w14:paraId="1ECFF9D0" w14:textId="77777777" w:rsidR="00815FD0" w:rsidRDefault="00000000">
            <w:pPr>
              <w:spacing w:before="45" w:after="5" w:line="250" w:lineRule="auto"/>
            </w:pPr>
            <w:r>
              <w:rPr>
                <w:rFonts w:cs="Times New Roman" w:hint="cs"/>
                <w:rtl/>
              </w:rPr>
              <w:t>דיוני הועדה המשותפת</w:t>
            </w:r>
          </w:p>
        </w:tc>
        <w:tc>
          <w:tcPr>
            <w:tcW w:w="800" w:type="pct"/>
          </w:tcPr>
          <w:p w14:paraId="2BAF620D" w14:textId="77777777" w:rsidR="00815FD0" w:rsidRDefault="00000000">
            <w:pPr>
              <w:spacing w:before="45" w:after="5" w:line="250" w:lineRule="auto"/>
            </w:pPr>
            <w:r>
              <w:rPr>
                <w:rFonts w:cs="Times New Roman" w:hint="cs"/>
                <w:rtl/>
              </w:rPr>
              <w:t>סעיף 15</w:t>
            </w:r>
          </w:p>
        </w:tc>
      </w:tr>
      <w:tr w:rsidR="00815FD0" w14:paraId="1F55160E" w14:textId="77777777">
        <w:tblPrEx>
          <w:tblCellMar>
            <w:top w:w="0" w:type="dxa"/>
            <w:bottom w:w="0" w:type="dxa"/>
          </w:tblCellMar>
        </w:tblPrEx>
        <w:tc>
          <w:tcPr>
            <w:tcW w:w="300" w:type="pct"/>
          </w:tcPr>
          <w:p w14:paraId="066E4449" w14:textId="77777777" w:rsidR="00815FD0" w:rsidRDefault="00000000">
            <w:pPr>
              <w:spacing w:before="45" w:after="5" w:line="250" w:lineRule="auto"/>
            </w:pPr>
            <w:hyperlink w:anchor="h17">
              <w:r>
                <w:rPr>
                  <w:rFonts w:cs="Times New Roman" w:hint="cs"/>
                  <w:color w:val="0000FE"/>
                  <w:u w:val="single"/>
                  <w:rtl/>
                </w:rPr>
                <w:t>Go</w:t>
              </w:r>
            </w:hyperlink>
          </w:p>
        </w:tc>
        <w:tc>
          <w:tcPr>
            <w:tcW w:w="0" w:type="auto"/>
          </w:tcPr>
          <w:p w14:paraId="4F3E45B7" w14:textId="77777777" w:rsidR="00815FD0" w:rsidRDefault="00000000">
            <w:pPr>
              <w:spacing w:before="45" w:after="5" w:line="250" w:lineRule="auto"/>
            </w:pPr>
            <w:r>
              <w:rPr>
                <w:rFonts w:cs="Times New Roman" w:hint="cs"/>
                <w:rtl/>
              </w:rPr>
              <w:t>תיקון מידע</w:t>
            </w:r>
          </w:p>
        </w:tc>
        <w:tc>
          <w:tcPr>
            <w:tcW w:w="800" w:type="pct"/>
          </w:tcPr>
          <w:p w14:paraId="230559DC" w14:textId="77777777" w:rsidR="00815FD0" w:rsidRDefault="00000000">
            <w:pPr>
              <w:spacing w:before="45" w:after="5" w:line="250" w:lineRule="auto"/>
            </w:pPr>
            <w:r>
              <w:rPr>
                <w:rFonts w:cs="Times New Roman" w:hint="cs"/>
                <w:rtl/>
              </w:rPr>
              <w:t>סעיף 16</w:t>
            </w:r>
          </w:p>
        </w:tc>
      </w:tr>
      <w:tr w:rsidR="00815FD0" w14:paraId="3335CDB0" w14:textId="77777777">
        <w:tblPrEx>
          <w:tblCellMar>
            <w:top w:w="0" w:type="dxa"/>
            <w:bottom w:w="0" w:type="dxa"/>
          </w:tblCellMar>
        </w:tblPrEx>
        <w:tc>
          <w:tcPr>
            <w:tcW w:w="300" w:type="pct"/>
          </w:tcPr>
          <w:p w14:paraId="1E3BD55B" w14:textId="77777777" w:rsidR="00815FD0" w:rsidRDefault="00000000">
            <w:pPr>
              <w:spacing w:before="45" w:after="5" w:line="250" w:lineRule="auto"/>
            </w:pPr>
            <w:hyperlink w:anchor="h18">
              <w:r>
                <w:rPr>
                  <w:rFonts w:cs="Times New Roman" w:hint="cs"/>
                  <w:color w:val="0000FE"/>
                  <w:u w:val="single"/>
                  <w:rtl/>
                </w:rPr>
                <w:t>Go</w:t>
              </w:r>
            </w:hyperlink>
          </w:p>
        </w:tc>
        <w:tc>
          <w:tcPr>
            <w:tcW w:w="0" w:type="auto"/>
          </w:tcPr>
          <w:p w14:paraId="7874B55C" w14:textId="77777777" w:rsidR="00815FD0" w:rsidRDefault="00000000">
            <w:pPr>
              <w:spacing w:before="45" w:after="5" w:line="250" w:lineRule="auto"/>
            </w:pPr>
            <w:r>
              <w:rPr>
                <w:rFonts w:cs="Times New Roman" w:hint="cs"/>
                <w:rtl/>
              </w:rPr>
              <w:t>עתירה לבית המשפט</w:t>
            </w:r>
          </w:p>
        </w:tc>
        <w:tc>
          <w:tcPr>
            <w:tcW w:w="800" w:type="pct"/>
          </w:tcPr>
          <w:p w14:paraId="305E7831" w14:textId="77777777" w:rsidR="00815FD0" w:rsidRDefault="00000000">
            <w:pPr>
              <w:spacing w:before="45" w:after="5" w:line="250" w:lineRule="auto"/>
            </w:pPr>
            <w:r>
              <w:rPr>
                <w:rFonts w:cs="Times New Roman" w:hint="cs"/>
                <w:rtl/>
              </w:rPr>
              <w:t>סעיף 17</w:t>
            </w:r>
          </w:p>
        </w:tc>
      </w:tr>
      <w:tr w:rsidR="00815FD0" w14:paraId="5FCC5783" w14:textId="77777777">
        <w:tblPrEx>
          <w:tblCellMar>
            <w:top w:w="0" w:type="dxa"/>
            <w:bottom w:w="0" w:type="dxa"/>
          </w:tblCellMar>
        </w:tblPrEx>
        <w:tc>
          <w:tcPr>
            <w:tcW w:w="300" w:type="pct"/>
          </w:tcPr>
          <w:p w14:paraId="3220A344" w14:textId="77777777" w:rsidR="00815FD0" w:rsidRDefault="00000000">
            <w:pPr>
              <w:spacing w:before="45" w:after="5" w:line="250" w:lineRule="auto"/>
            </w:pPr>
            <w:hyperlink w:anchor="h19">
              <w:r>
                <w:rPr>
                  <w:rFonts w:cs="Times New Roman" w:hint="cs"/>
                  <w:color w:val="0000FE"/>
                  <w:u w:val="single"/>
                  <w:rtl/>
                </w:rPr>
                <w:t>Go</w:t>
              </w:r>
            </w:hyperlink>
          </w:p>
        </w:tc>
        <w:tc>
          <w:tcPr>
            <w:tcW w:w="0" w:type="auto"/>
          </w:tcPr>
          <w:p w14:paraId="292448BD" w14:textId="77777777" w:rsidR="00815FD0" w:rsidRDefault="00000000">
            <w:pPr>
              <w:spacing w:before="45" w:after="5" w:line="250" w:lineRule="auto"/>
            </w:pPr>
            <w:r>
              <w:rPr>
                <w:rFonts w:cs="Times New Roman" w:hint="cs"/>
                <w:rtl/>
              </w:rPr>
              <w:t>אגרות</w:t>
            </w:r>
          </w:p>
        </w:tc>
        <w:tc>
          <w:tcPr>
            <w:tcW w:w="800" w:type="pct"/>
          </w:tcPr>
          <w:p w14:paraId="700736C0" w14:textId="77777777" w:rsidR="00815FD0" w:rsidRDefault="00000000">
            <w:pPr>
              <w:spacing w:before="45" w:after="5" w:line="250" w:lineRule="auto"/>
            </w:pPr>
            <w:r>
              <w:rPr>
                <w:rFonts w:cs="Times New Roman" w:hint="cs"/>
                <w:rtl/>
              </w:rPr>
              <w:t>סעיף 18</w:t>
            </w:r>
          </w:p>
        </w:tc>
      </w:tr>
      <w:tr w:rsidR="00815FD0" w14:paraId="21E9BDDA" w14:textId="77777777">
        <w:tblPrEx>
          <w:tblCellMar>
            <w:top w:w="0" w:type="dxa"/>
            <w:bottom w:w="0" w:type="dxa"/>
          </w:tblCellMar>
        </w:tblPrEx>
        <w:tc>
          <w:tcPr>
            <w:tcW w:w="300" w:type="pct"/>
          </w:tcPr>
          <w:p w14:paraId="3D462EDB" w14:textId="77777777" w:rsidR="00815FD0" w:rsidRDefault="00000000">
            <w:pPr>
              <w:spacing w:before="45" w:after="5" w:line="250" w:lineRule="auto"/>
            </w:pPr>
            <w:hyperlink w:anchor="h20">
              <w:r>
                <w:rPr>
                  <w:rFonts w:cs="Times New Roman" w:hint="cs"/>
                  <w:color w:val="0000FE"/>
                  <w:u w:val="single"/>
                  <w:rtl/>
                </w:rPr>
                <w:t>Go</w:t>
              </w:r>
            </w:hyperlink>
          </w:p>
        </w:tc>
        <w:tc>
          <w:tcPr>
            <w:tcW w:w="0" w:type="auto"/>
          </w:tcPr>
          <w:p w14:paraId="48806179" w14:textId="77777777" w:rsidR="00815FD0" w:rsidRDefault="00000000">
            <w:pPr>
              <w:spacing w:before="45" w:after="5" w:line="250" w:lineRule="auto"/>
            </w:pPr>
            <w:r>
              <w:rPr>
                <w:rFonts w:cs="Times New Roman" w:hint="cs"/>
                <w:rtl/>
              </w:rPr>
              <w:t>ביצוע ותקנות</w:t>
            </w:r>
          </w:p>
        </w:tc>
        <w:tc>
          <w:tcPr>
            <w:tcW w:w="800" w:type="pct"/>
          </w:tcPr>
          <w:p w14:paraId="0028379A" w14:textId="77777777" w:rsidR="00815FD0" w:rsidRDefault="00000000">
            <w:pPr>
              <w:spacing w:before="45" w:after="5" w:line="250" w:lineRule="auto"/>
            </w:pPr>
            <w:r>
              <w:rPr>
                <w:rFonts w:cs="Times New Roman" w:hint="cs"/>
                <w:rtl/>
              </w:rPr>
              <w:t>סעיף 19</w:t>
            </w:r>
          </w:p>
        </w:tc>
      </w:tr>
      <w:tr w:rsidR="00815FD0" w14:paraId="21619672" w14:textId="77777777">
        <w:tblPrEx>
          <w:tblCellMar>
            <w:top w:w="0" w:type="dxa"/>
            <w:bottom w:w="0" w:type="dxa"/>
          </w:tblCellMar>
        </w:tblPrEx>
        <w:tc>
          <w:tcPr>
            <w:tcW w:w="300" w:type="pct"/>
          </w:tcPr>
          <w:p w14:paraId="1F2522CD" w14:textId="77777777" w:rsidR="00815FD0" w:rsidRDefault="00000000">
            <w:pPr>
              <w:spacing w:before="45" w:after="5" w:line="250" w:lineRule="auto"/>
            </w:pPr>
            <w:hyperlink w:anchor="h21">
              <w:r>
                <w:rPr>
                  <w:rFonts w:cs="Times New Roman" w:hint="cs"/>
                  <w:color w:val="0000FE"/>
                  <w:u w:val="single"/>
                  <w:rtl/>
                </w:rPr>
                <w:t>Go</w:t>
              </w:r>
            </w:hyperlink>
          </w:p>
        </w:tc>
        <w:tc>
          <w:tcPr>
            <w:tcW w:w="0" w:type="auto"/>
          </w:tcPr>
          <w:p w14:paraId="6EB4C2B9" w14:textId="77777777" w:rsidR="00815FD0" w:rsidRDefault="00000000">
            <w:pPr>
              <w:spacing w:before="45" w:after="5" w:line="250" w:lineRule="auto"/>
            </w:pPr>
            <w:r>
              <w:rPr>
                <w:rFonts w:cs="Times New Roman" w:hint="cs"/>
                <w:rtl/>
              </w:rPr>
              <w:t>שמירת דינים</w:t>
            </w:r>
          </w:p>
        </w:tc>
        <w:tc>
          <w:tcPr>
            <w:tcW w:w="800" w:type="pct"/>
          </w:tcPr>
          <w:p w14:paraId="279F3283" w14:textId="77777777" w:rsidR="00815FD0" w:rsidRDefault="00000000">
            <w:pPr>
              <w:spacing w:before="45" w:after="5" w:line="250" w:lineRule="auto"/>
            </w:pPr>
            <w:r>
              <w:rPr>
                <w:rFonts w:cs="Times New Roman" w:hint="cs"/>
                <w:rtl/>
              </w:rPr>
              <w:t>סעיף 20</w:t>
            </w:r>
          </w:p>
        </w:tc>
      </w:tr>
      <w:tr w:rsidR="00815FD0" w14:paraId="31B35DB4" w14:textId="77777777">
        <w:tblPrEx>
          <w:tblCellMar>
            <w:top w:w="0" w:type="dxa"/>
            <w:bottom w:w="0" w:type="dxa"/>
          </w:tblCellMar>
        </w:tblPrEx>
        <w:tc>
          <w:tcPr>
            <w:tcW w:w="300" w:type="pct"/>
          </w:tcPr>
          <w:p w14:paraId="37D55880" w14:textId="77777777" w:rsidR="00815FD0" w:rsidRDefault="00000000">
            <w:pPr>
              <w:spacing w:before="45" w:after="5" w:line="250" w:lineRule="auto"/>
            </w:pPr>
            <w:hyperlink w:anchor="h22">
              <w:r>
                <w:rPr>
                  <w:rFonts w:cs="Times New Roman" w:hint="cs"/>
                  <w:color w:val="0000FE"/>
                  <w:u w:val="single"/>
                  <w:rtl/>
                </w:rPr>
                <w:t>Go</w:t>
              </w:r>
            </w:hyperlink>
          </w:p>
        </w:tc>
        <w:tc>
          <w:tcPr>
            <w:tcW w:w="0" w:type="auto"/>
          </w:tcPr>
          <w:p w14:paraId="0EB0EC1D" w14:textId="77777777" w:rsidR="00815FD0" w:rsidRDefault="00000000">
            <w:pPr>
              <w:spacing w:before="45" w:after="5" w:line="250" w:lineRule="auto"/>
            </w:pPr>
            <w:r>
              <w:rPr>
                <w:rFonts w:cs="Times New Roman" w:hint="cs"/>
                <w:rtl/>
              </w:rPr>
              <w:t>תחילה</w:t>
            </w:r>
          </w:p>
        </w:tc>
        <w:tc>
          <w:tcPr>
            <w:tcW w:w="800" w:type="pct"/>
          </w:tcPr>
          <w:p w14:paraId="345EBE32" w14:textId="77777777" w:rsidR="00815FD0" w:rsidRDefault="00000000">
            <w:pPr>
              <w:spacing w:before="45" w:after="5" w:line="250" w:lineRule="auto"/>
            </w:pPr>
            <w:r>
              <w:rPr>
                <w:rFonts w:cs="Times New Roman" w:hint="cs"/>
                <w:rtl/>
              </w:rPr>
              <w:t>סעיף 21</w:t>
            </w:r>
          </w:p>
        </w:tc>
      </w:tr>
    </w:tbl>
    <w:p w14:paraId="491E9E8D" w14:textId="77777777" w:rsidR="00815FD0" w:rsidRDefault="00000000">
      <w:pPr>
        <w:spacing w:before="45" w:after="5" w:line="250" w:lineRule="auto"/>
      </w:pPr>
      <w:r>
        <w:br w:type="page"/>
      </w:r>
    </w:p>
    <w:p w14:paraId="36B57119" w14:textId="77777777" w:rsidR="00815FD0" w:rsidRDefault="00000000">
      <w:pPr>
        <w:spacing w:before="45" w:after="70" w:line="250" w:lineRule="auto"/>
        <w:jc w:val="center"/>
      </w:pPr>
      <w:r>
        <w:rPr>
          <w:rFonts w:cs="FrankRuehl" w:hint="cs"/>
          <w:szCs w:val="32"/>
          <w:rtl/>
        </w:rPr>
        <w:lastRenderedPageBreak/>
        <w:t>חוק חופש המידע, תשנ"ח-1998</w:t>
      </w:r>
    </w:p>
    <w:p w14:paraId="69C098CE" w14:textId="2676BADD"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0" w:name="h1"/>
      <w:bookmarkEnd w:id="0"/>
      <w:r>
        <w:rPr>
          <w:noProof/>
        </w:rPr>
        <mc:AlternateContent>
          <mc:Choice Requires="wps">
            <w:drawing>
              <wp:anchor distT="0" distB="0" distL="114300" distR="114300" simplePos="0" relativeHeight="251646976" behindDoc="0" locked="0" layoutInCell="0" allowOverlap="0" wp14:anchorId="575BC912" wp14:editId="68C9F2DB">
                <wp:simplePos x="0" y="0"/>
                <wp:positionH relativeFrom="column">
                  <wp:posOffset>5524500</wp:posOffset>
                </wp:positionH>
                <wp:positionV relativeFrom="paragraph">
                  <wp:posOffset>38100</wp:posOffset>
                </wp:positionV>
                <wp:extent cx="1016000" cy="148590"/>
                <wp:effectExtent l="0" t="0" r="3175" b="0"/>
                <wp:wrapNone/>
                <wp:docPr id="1800750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078C8" w14:textId="77777777" w:rsidR="00815FD0" w:rsidRDefault="00000000">
                            <w:pPr>
                              <w:spacing w:after="0" w:line="250" w:lineRule="auto"/>
                            </w:pPr>
                            <w:r>
                              <w:rPr>
                                <w:rFonts w:cs="Miriam" w:hint="cs"/>
                                <w:szCs w:val="22"/>
                                <w:rtl/>
                              </w:rPr>
                              <w:t>חופש מידע</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75BC912" id="Rectangle 23" o:spid="_x0000_s1026" style="position:absolute;left:0;text-align:left;margin-left:435pt;margin-top:3pt;width:80pt;height:1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" o:allowincell="f" o:allowoverlap="f" filled="f" stroked="f">
                <v:textbox style="mso-fit-shape-to-text:t" inset="0,0,0,0">
                  <w:txbxContent>
                    <w:p w14:paraId="77F078C8" w14:textId="77777777" w:rsidR="00815FD0" w:rsidRDefault="00000000">
                      <w:pPr>
                        <w:spacing w:after="0" w:line="250" w:lineRule="auto"/>
                      </w:pPr>
                      <w:r>
                        <w:rPr>
                          <w:rFonts w:cs="Miriam" w:hint="cs"/>
                          <w:szCs w:val="22"/>
                          <w:rtl/>
                        </w:rPr>
                        <w:t>חופש מידע</w:t>
                      </w:r>
                    </w:p>
                  </w:txbxContent>
                </v:textbox>
              </v:rect>
            </w:pict>
          </mc:Fallback>
        </mc:AlternateContent>
      </w:r>
      <w:r w:rsidR="00000000">
        <w:rPr>
          <w:rFonts w:cs="FrankRuehl" w:hint="cs"/>
          <w:szCs w:val="34"/>
          <w:rtl/>
        </w:rPr>
        <w:t>1.</w:t>
      </w:r>
      <w:r w:rsidR="00000000">
        <w:rPr>
          <w:rFonts w:cs="FrankRuehl" w:hint="cs"/>
          <w:szCs w:val="26"/>
          <w:rtl/>
        </w:rPr>
        <w:tab/>
        <w:t>לכל אזרח ישראלי או תושב הזכות לקבל מידע מרשות ציבורית בהתאם להוראות חוק זה.</w:t>
      </w:r>
    </w:p>
    <w:p w14:paraId="1CB3170A" w14:textId="701D9130"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1" w:name="h2"/>
      <w:bookmarkEnd w:id="1"/>
      <w:r>
        <w:rPr>
          <w:noProof/>
        </w:rPr>
        <mc:AlternateContent>
          <mc:Choice Requires="wps">
            <w:drawing>
              <wp:anchor distT="0" distB="0" distL="114300" distR="114300" simplePos="0" relativeHeight="251648000" behindDoc="0" locked="0" layoutInCell="0" allowOverlap="0" wp14:anchorId="773DA59B" wp14:editId="44F7C3C1">
                <wp:simplePos x="0" y="0"/>
                <wp:positionH relativeFrom="column">
                  <wp:posOffset>5524500</wp:posOffset>
                </wp:positionH>
                <wp:positionV relativeFrom="paragraph">
                  <wp:posOffset>38100</wp:posOffset>
                </wp:positionV>
                <wp:extent cx="1016000" cy="148590"/>
                <wp:effectExtent l="0" t="0" r="3175" b="0"/>
                <wp:wrapNone/>
                <wp:docPr id="145162429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87C0" w14:textId="77777777" w:rsidR="00815FD0" w:rsidRDefault="00000000">
                            <w:pPr>
                              <w:spacing w:after="0" w:line="250" w:lineRule="auto"/>
                            </w:pPr>
                            <w:r>
                              <w:rPr>
                                <w:rFonts w:cs="Miriam" w:hint="cs"/>
                                <w:szCs w:val="22"/>
                                <w:rtl/>
                              </w:rPr>
                              <w:t>הגדרות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73DA59B" id="Rectangle 22" o:spid="_x0000_s1027" style="position:absolute;left:0;text-align:left;margin-left:435pt;margin-top:3pt;width:80pt;height:1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" o:allowincell="f" o:allowoverlap="f" filled="f" stroked="f">
                <v:textbox style="mso-fit-shape-to-text:t" inset="0,0,0,0">
                  <w:txbxContent>
                    <w:p w14:paraId="17C687C0" w14:textId="77777777" w:rsidR="00815FD0" w:rsidRDefault="00000000">
                      <w:pPr>
                        <w:spacing w:after="0" w:line="250" w:lineRule="auto"/>
                      </w:pPr>
                      <w:r>
                        <w:rPr>
                          <w:rFonts w:cs="Miriam" w:hint="cs"/>
                          <w:szCs w:val="22"/>
                          <w:rtl/>
                        </w:rPr>
                        <w:t>הגדרות</w:t>
                      </w:r>
                    </w:p>
                  </w:txbxContent>
                </v:textbox>
              </v:rect>
            </w:pict>
          </mc:Fallback>
        </mc:AlternateContent>
      </w:r>
      <w:r w:rsidR="00000000">
        <w:rPr>
          <w:rFonts w:cs="FrankRuehl" w:hint="cs"/>
          <w:szCs w:val="34"/>
          <w:rtl/>
        </w:rPr>
        <w:t>2.</w:t>
      </w:r>
      <w:r w:rsidR="00000000">
        <w:rPr>
          <w:rFonts w:cs="FrankRuehl" w:hint="cs"/>
          <w:szCs w:val="26"/>
          <w:rtl/>
        </w:rPr>
        <w:tab/>
        <w:t>בחוק זה –</w:t>
      </w:r>
    </w:p>
    <w:p w14:paraId="1D87AC4F"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"ועדה משותפת" – ועדה משותפת של ועדת החוקה חוק ומשפט וועדת החוץ והבטחון של הכנסת;</w:t>
      </w:r>
    </w:p>
    <w:p w14:paraId="78EA05B9"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"חברה עירונית" – חברה עירונית וחברת בת עירונית כהגדרתן בסעיף 21 לחוק יסודות התקציב, התשמ"ה-1985;</w:t>
      </w:r>
    </w:p>
    <w:p w14:paraId="44EA7ECC"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"מוסד להשכלה גבוהה" – אחד מאלה:</w:t>
      </w:r>
    </w:p>
    <w:p w14:paraId="730F23D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w:t>
      </w:r>
      <w:r>
        <w:rPr>
          <w:rFonts w:cs="FrankRuehl" w:hint="cs"/>
          <w:szCs w:val="26"/>
          <w:rtl/>
        </w:rPr>
        <w:tab/>
        <w:t>מוסד מוכר כמשמעותו בסעיף 9 לחוק המועצה להשכלה גבוהה, התשי"ח-1958 (להלן – חוק המועצה להשכלה גבוהה);</w:t>
      </w:r>
    </w:p>
    <w:p w14:paraId="26DFA144"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(2)</w:t>
      </w:r>
      <w:r>
        <w:rPr>
          <w:rFonts w:cs="FrankRuehl" w:hint="cs"/>
          <w:szCs w:val="26"/>
          <w:rtl/>
        </w:rPr>
        <w:tab/>
        <w:t>מוסד שניתן לו היתר או אישור לפי סעיף 21א לחוק המועצה להשכלה גבוהה;</w:t>
      </w:r>
    </w:p>
    <w:p w14:paraId="6C3A685F"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(3)</w:t>
      </w:r>
      <w:r>
        <w:rPr>
          <w:rFonts w:cs="FrankRuehl" w:hint="cs"/>
          <w:szCs w:val="26"/>
          <w:rtl/>
        </w:rPr>
        <w:tab/>
        <w:t>מוסד שהתואר שהוא מעניק הוכר לפי סעיף 28א לחוק המועצה להשכלה גבוהה;</w:t>
      </w:r>
    </w:p>
    <w:p w14:paraId="17C2E6F8"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"מידע" – כל מידע המצוי ברשות ציבורית, והוא כתוב, מוקלט, מוסרט, מצולם או ממוחשב;</w:t>
      </w:r>
    </w:p>
    <w:p w14:paraId="2B2385A5"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"ממונה" – מי שמונה לפי סעיף 3;</w:t>
      </w:r>
    </w:p>
    <w:p w14:paraId="0CCAE4B5"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"קבלת מידע" – לרבות עיון, צפיה, האזנה, העתקה, צילום, קבלת פלט מחשב או קבלת מידע בכל דרך אחרת בהתאם לסוג המידע וצורת החזקתו;</w:t>
      </w:r>
    </w:p>
    <w:p w14:paraId="5EB4BE75"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"רשות ציבורית" –</w:t>
      </w:r>
    </w:p>
    <w:p w14:paraId="56FB6C03"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w:t>
      </w:r>
      <w:r>
        <w:rPr>
          <w:rFonts w:cs="FrankRuehl" w:hint="cs"/>
          <w:szCs w:val="26"/>
          <w:rtl/>
        </w:rPr>
        <w:tab/>
        <w:t>הממשלה ומשרדי הממשלה, לרבות יחידותיהם ויחידות הסמך שלהם; </w:t>
      </w:r>
    </w:p>
    <w:p w14:paraId="066BA34F"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(2)</w:t>
      </w:r>
      <w:r>
        <w:rPr>
          <w:rFonts w:cs="FrankRuehl" w:hint="cs"/>
          <w:szCs w:val="26"/>
          <w:rtl/>
        </w:rPr>
        <w:tab/>
        <w:t>לשכת נשיא המדינה; </w:t>
      </w:r>
    </w:p>
    <w:p w14:paraId="6A64B69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(3)</w:t>
      </w:r>
      <w:r>
        <w:rPr>
          <w:rFonts w:cs="FrankRuehl" w:hint="cs"/>
          <w:szCs w:val="26"/>
          <w:rtl/>
        </w:rPr>
        <w:tab/>
        <w:t>הכנסת; </w:t>
      </w:r>
    </w:p>
    <w:p w14:paraId="34BE5F41"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(4)</w:t>
      </w:r>
      <w:r>
        <w:rPr>
          <w:rFonts w:cs="FrankRuehl" w:hint="cs"/>
          <w:szCs w:val="26"/>
          <w:rtl/>
        </w:rPr>
        <w:tab/>
        <w:t>מבקר המדינה, למעט לגבי מידע שהגיע אליו לצורך פעולות הביקורת ובירור תלונות הציבור;</w:t>
      </w:r>
    </w:p>
    <w:p w14:paraId="06591FA0"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(4א)</w:t>
      </w:r>
      <w:r>
        <w:rPr>
          <w:rFonts w:cs="FrankRuehl" w:hint="cs"/>
          <w:szCs w:val="26"/>
          <w:rtl/>
        </w:rPr>
        <w:tab/>
        <w:t>ועדת הבחירות המרכזית לכנסת, למעט לגבי מידע המפורט בסעיף 79א לחוק הבחירות לכנסת [נוסח משולב], התשכ"ט-1969;</w:t>
      </w:r>
    </w:p>
    <w:p w14:paraId="241EFCE4"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(5)</w:t>
      </w:r>
      <w:r>
        <w:rPr>
          <w:rFonts w:cs="FrankRuehl" w:hint="cs"/>
          <w:szCs w:val="26"/>
          <w:rtl/>
        </w:rPr>
        <w:tab/>
        <w:t>בתי משפט, בתי דין, לשכות הוצאה לפועל, וגופים אחרים בעלי סמכות שפיטה על פי דין – למעט לגבי תוכנו של הליך משפטי;</w:t>
      </w:r>
    </w:p>
    <w:p w14:paraId="53D88068"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(6)</w:t>
      </w:r>
      <w:r>
        <w:rPr>
          <w:rFonts w:cs="FrankRuehl" w:hint="cs"/>
          <w:szCs w:val="26"/>
          <w:rtl/>
        </w:rPr>
        <w:tab/>
        <w:t>רשות מקומית;</w:t>
      </w:r>
    </w:p>
    <w:p w14:paraId="33C2FDD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(7)</w:t>
      </w:r>
      <w:r>
        <w:rPr>
          <w:rFonts w:cs="FrankRuehl" w:hint="cs"/>
          <w:szCs w:val="26"/>
          <w:rtl/>
        </w:rPr>
        <w:tab/>
        <w:t>חברה עירונית;</w:t>
      </w:r>
    </w:p>
    <w:p w14:paraId="5A919FD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(8)</w:t>
      </w:r>
      <w:r>
        <w:rPr>
          <w:rFonts w:cs="FrankRuehl" w:hint="cs"/>
          <w:szCs w:val="26"/>
          <w:rtl/>
        </w:rPr>
        <w:tab/>
        <w:t>תאגיד שהוקם בחוק;</w:t>
      </w:r>
    </w:p>
    <w:p w14:paraId="1FAEAAF1"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(9)</w:t>
      </w:r>
      <w:r>
        <w:rPr>
          <w:rFonts w:cs="FrankRuehl" w:hint="cs"/>
          <w:szCs w:val="26"/>
          <w:rtl/>
        </w:rPr>
        <w:tab/>
        <w:t>חברה ממשלתית וחברה-בת ממשלתית כהגדרתן בחוק החברות הממשלתיות, התשל"ה-1975, למעט חברות שקבע שר המשפטים באישור ועדת החוקה חוק ומשפט של הכנסת; קביעה כאמור יכול שתהיה לגבי כל פעילותה של החברה או לגבי פעילויות מסוימות;</w:t>
      </w:r>
    </w:p>
    <w:p w14:paraId="0AE0A83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(9א)</w:t>
      </w:r>
      <w:r>
        <w:rPr>
          <w:rFonts w:cs="FrankRuehl" w:hint="cs"/>
          <w:szCs w:val="26"/>
          <w:rtl/>
        </w:rPr>
        <w:tab/>
        <w:t>התאחדות ואיגוד, כאמור בסעיף 9ב לחוק הספורט, התשמ"ח-1988;</w:t>
      </w:r>
    </w:p>
    <w:p w14:paraId="67A2C09D"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(9ב)</w:t>
      </w:r>
      <w:r>
        <w:rPr>
          <w:rFonts w:cs="FrankRuehl" w:hint="cs"/>
          <w:szCs w:val="26"/>
          <w:rtl/>
        </w:rPr>
        <w:tab/>
        <w:t>מוסד להשכלה גבוהה שהמדינה משתתפת בתקציבו בהתאם להוראות סעיף 17א לחוק המועצה להשכלה גבוהה;</w:t>
      </w:r>
    </w:p>
    <w:p w14:paraId="69C4376D"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(9ג)</w:t>
      </w:r>
      <w:r>
        <w:rPr>
          <w:rFonts w:cs="FrankRuehl" w:hint="cs"/>
          <w:szCs w:val="26"/>
          <w:rtl/>
        </w:rPr>
        <w:tab/>
        <w:t>החטיבה להתיישבות, במסגרתה הפעלת סמכויותיה לפי סעיף 6ב לחוק מעמדן של ההסתדרות הציונית העולמית ושל הסוכנות היהודית לארץ ישראל, התשי"ג-1952, בכל הנוגע לניהול ענייניה הכספיים של החטיבה להתיישבות, לרבות מידע על אודות הוצאותיה, הכנסותיה, דוחותיה הכספיים, קביעת תקציבה וביצועו, וכן מידע לעניין מכרזים והתקשרויות בחוזים לביצוע עסקאות בטובין או עבודות או לרכישת שירותים, שהיא צד להם;</w:t>
      </w:r>
    </w:p>
    <w:p w14:paraId="278F3C1F"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lastRenderedPageBreak/>
        <w:t>(10)</w:t>
      </w:r>
      <w:r>
        <w:rPr>
          <w:rFonts w:cs="FrankRuehl" w:hint="cs"/>
          <w:szCs w:val="26"/>
          <w:rtl/>
        </w:rPr>
        <w:tab/>
        <w:t>גוף אחר, הממלא תפקיד ציבורי, שהוא גוף מבוקר כמשמעותו בסעיף 9 לחוק מבקר המדינה, התשי"ח-1958 [נוסח משולב], שקבע שר המשפטים, באישור ועדת החוקה חוק ומשפט של הכנסת; קביעה כאמור יכול שתהיה לגבי כל פעילותו של גוף כאמור או לגבי פעילויות מסוימות;</w:t>
      </w:r>
    </w:p>
    <w:p w14:paraId="3D023DD7"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"ראש רשות ציבורית" – המנהל הכללי, ובאין מנהל כללי – בעל התפקיד המקביל באותו גוף; ברשות מקומית – ראש הרשות המקומית;</w:t>
      </w:r>
    </w:p>
    <w:p w14:paraId="1A0B2D03"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"תאגיד בשליטת רשות מקומית" – (נמחקה)</w:t>
      </w:r>
    </w:p>
    <w:p w14:paraId="39CA7FA4" w14:textId="77777777" w:rsidR="00815FD0" w:rsidRDefault="00000000">
      <w:pPr>
        <w:tabs>
          <w:tab w:val="left" w:pos="720"/>
          <w:tab w:val="left" w:pos="1440"/>
          <w:tab w:val="left" w:pos="2160"/>
          <w:tab w:val="left" w:pos="2880"/>
          <w:tab w:val="left" w:pos="3600"/>
        </w:tabs>
        <w:spacing w:before="45" w:after="50" w:line="250" w:lineRule="auto"/>
        <w:ind w:left="720"/>
        <w:jc w:val="both"/>
      </w:pPr>
      <w:r>
        <w:rPr>
          <w:rFonts w:cs="FrankRuehl" w:hint="cs"/>
          <w:szCs w:val="26"/>
          <w:rtl/>
        </w:rPr>
        <w:t>"תושב" – כהגדרתו בסעיף 1 לחוק מרשם האוכלוסין, התשכ"ה-1965, וכן תאגיד שהתאגד לפי הדין בישראל.</w:t>
      </w:r>
    </w:p>
    <w:p w14:paraId="288F8F38" w14:textId="068B041F"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2" w:name="h3"/>
      <w:bookmarkEnd w:id="2"/>
      <w:r>
        <w:rPr>
          <w:noProof/>
        </w:rPr>
        <mc:AlternateContent>
          <mc:Choice Requires="wps">
            <w:drawing>
              <wp:anchor distT="0" distB="0" distL="114300" distR="114300" simplePos="0" relativeHeight="251649024" behindDoc="0" locked="0" layoutInCell="0" allowOverlap="0" wp14:anchorId="130724FF" wp14:editId="44A845D0">
                <wp:simplePos x="0" y="0"/>
                <wp:positionH relativeFrom="column">
                  <wp:posOffset>5524500</wp:posOffset>
                </wp:positionH>
                <wp:positionV relativeFrom="paragraph">
                  <wp:posOffset>38100</wp:posOffset>
                </wp:positionV>
                <wp:extent cx="1016000" cy="148590"/>
                <wp:effectExtent l="0" t="0" r="3175" b="0"/>
                <wp:wrapNone/>
                <wp:docPr id="32477270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6F437" w14:textId="77777777" w:rsidR="00815FD0" w:rsidRDefault="00000000">
                            <w:pPr>
                              <w:spacing w:after="0" w:line="250" w:lineRule="auto"/>
                            </w:pPr>
                            <w:r>
                              <w:rPr>
                                <w:rFonts w:cs="Miriam" w:hint="cs"/>
                                <w:szCs w:val="22"/>
                                <w:rtl/>
                              </w:rPr>
                              <w:t>ממונה</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0724FF" id="Rectangle 21" o:spid="_x0000_s1028" style="position:absolute;left:0;text-align:left;margin-left:435pt;margin-top:3pt;width:80pt;height:1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" o:allowincell="f" o:allowoverlap="f" filled="f" stroked="f">
                <v:textbox style="mso-fit-shape-to-text:t" inset="0,0,0,0">
                  <w:txbxContent>
                    <w:p w14:paraId="19A6F437" w14:textId="77777777" w:rsidR="00815FD0" w:rsidRDefault="00000000">
                      <w:pPr>
                        <w:spacing w:after="0" w:line="250" w:lineRule="auto"/>
                      </w:pPr>
                      <w:r>
                        <w:rPr>
                          <w:rFonts w:cs="Miriam" w:hint="cs"/>
                          <w:szCs w:val="22"/>
                          <w:rtl/>
                        </w:rPr>
                        <w:t>ממונה</w:t>
                      </w:r>
                    </w:p>
                  </w:txbxContent>
                </v:textbox>
              </v:rect>
            </w:pict>
          </mc:Fallback>
        </mc:AlternateContent>
      </w:r>
      <w:r w:rsidR="00000000">
        <w:rPr>
          <w:rFonts w:cs="FrankRuehl" w:hint="cs"/>
          <w:szCs w:val="34"/>
          <w:rtl/>
        </w:rPr>
        <w:t>3.</w:t>
      </w:r>
      <w:r w:rsidR="00000000">
        <w:rPr>
          <w:rFonts w:cs="FrankRuehl" w:hint="cs"/>
          <w:szCs w:val="26"/>
          <w:rtl/>
        </w:rPr>
        <w:tab/>
        <w:t>ראש רשות ציבורית ימנה, מקרב עובדי הרשות, ממונה על העמדת מידע לרשות הציבור, על טיפול בבקשות לקבלת מידע ועל יישום הוראות חוק זה.</w:t>
      </w:r>
    </w:p>
    <w:p w14:paraId="26762C9D" w14:textId="197B160A"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3" w:name="h4"/>
      <w:bookmarkEnd w:id="3"/>
      <w:r>
        <w:rPr>
          <w:noProof/>
        </w:rPr>
        <mc:AlternateContent>
          <mc:Choice Requires="wps">
            <w:drawing>
              <wp:anchor distT="0" distB="0" distL="114300" distR="114300" simplePos="0" relativeHeight="251650048" behindDoc="0" locked="0" layoutInCell="0" allowOverlap="0" wp14:anchorId="1422FD84" wp14:editId="3DBD127D">
                <wp:simplePos x="0" y="0"/>
                <wp:positionH relativeFrom="column">
                  <wp:posOffset>5524500</wp:posOffset>
                </wp:positionH>
                <wp:positionV relativeFrom="paragraph">
                  <wp:posOffset>38100</wp:posOffset>
                </wp:positionV>
                <wp:extent cx="1016000" cy="445135"/>
                <wp:effectExtent l="0" t="0" r="3175" b="0"/>
                <wp:wrapNone/>
                <wp:docPr id="205771865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C6E0" w14:textId="77777777" w:rsidR="00815FD0" w:rsidRDefault="00000000">
                            <w:pPr>
                              <w:spacing w:after="0" w:line="250" w:lineRule="auto"/>
                            </w:pPr>
                            <w:r>
                              <w:rPr>
                                <w:rFonts w:cs="Miriam" w:hint="cs"/>
                                <w:szCs w:val="22"/>
                                <w:rtl/>
                              </w:rPr>
                              <w:t>פרסום רשימת הרשויות הציבוריות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422FD84" id="Rectangle 20" o:spid="_x0000_s1029" style="position:absolute;left:0;text-align:left;margin-left:435pt;margin-top:3pt;width:80pt;height:35.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" o:allowincell="f" o:allowoverlap="f" filled="f" stroked="f">
                <v:textbox style="mso-fit-shape-to-text:t" inset="0,0,0,0">
                  <w:txbxContent>
                    <w:p w14:paraId="017CC6E0" w14:textId="77777777" w:rsidR="00815FD0" w:rsidRDefault="00000000">
                      <w:pPr>
                        <w:spacing w:after="0" w:line="250" w:lineRule="auto"/>
                      </w:pPr>
                      <w:r>
                        <w:rPr>
                          <w:rFonts w:cs="Miriam" w:hint="cs"/>
                          <w:szCs w:val="22"/>
                          <w:rtl/>
                        </w:rPr>
                        <w:t>פרסום רשימת הרשויות הציבוריות</w:t>
                      </w:r>
                    </w:p>
                  </w:txbxContent>
                </v:textbox>
              </v:rect>
            </w:pict>
          </mc:Fallback>
        </mc:AlternateContent>
      </w:r>
      <w:r w:rsidR="00000000">
        <w:rPr>
          <w:rFonts w:cs="FrankRuehl" w:hint="cs"/>
          <w:szCs w:val="34"/>
          <w:rtl/>
        </w:rPr>
        <w:t>4.</w:t>
      </w:r>
      <w:r w:rsidR="00000000">
        <w:rPr>
          <w:rFonts w:cs="FrankRuehl" w:hint="cs"/>
          <w:szCs w:val="34"/>
          <w:rtl/>
        </w:rPr>
        <w:tab/>
      </w:r>
      <w:r w:rsidR="00000000">
        <w:rPr>
          <w:rFonts w:cs="FrankRuehl" w:hint="cs"/>
          <w:szCs w:val="26"/>
          <w:rtl/>
        </w:rPr>
        <w:t>(א)</w:t>
      </w:r>
      <w:r w:rsidR="00000000">
        <w:rPr>
          <w:rFonts w:cs="FrankRuehl" w:hint="cs"/>
          <w:szCs w:val="26"/>
          <w:rtl/>
        </w:rPr>
        <w:tab/>
        <w:t>הממשלה תעמיד לרשות הציבור, במקום ובאופן שייקבעו בתקנות, את רשימת הרשויות הציבוריות, כאמור בפסקאות (1) ו-(8) להגדרה "רשות ציבורית"; הרשימה תכלול מידע תמציתי על תפקידיה של כל רשות ציבורית, וכן על דרכי ההתקשרות עם הממונה ועל דרכים נוספות לקבלת מידע שבידי הרשות כנהוג באותה רשות. </w:t>
      </w:r>
    </w:p>
    <w:p w14:paraId="1E9A51A3"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רשות מקומית תעמיד לרשות הציבור, במקום ובאופן שייקבעו בתקנות, את הפרטים האמורים בסעיף קטן (א), לגביה ולגבי התאגידים שבשליטתה, אשר חוק זה חל עליהם.</w:t>
      </w:r>
    </w:p>
    <w:p w14:paraId="213AA273" w14:textId="237DCA7F"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4" w:name="h5"/>
      <w:bookmarkEnd w:id="4"/>
      <w:r>
        <w:rPr>
          <w:noProof/>
        </w:rPr>
        <mc:AlternateContent>
          <mc:Choice Requires="wps">
            <w:drawing>
              <wp:anchor distT="0" distB="0" distL="114300" distR="114300" simplePos="0" relativeHeight="251651072" behindDoc="0" locked="0" layoutInCell="0" allowOverlap="0" wp14:anchorId="1D64713E" wp14:editId="63ED590A">
                <wp:simplePos x="0" y="0"/>
                <wp:positionH relativeFrom="column">
                  <wp:posOffset>5524500</wp:posOffset>
                </wp:positionH>
                <wp:positionV relativeFrom="paragraph">
                  <wp:posOffset>38100</wp:posOffset>
                </wp:positionV>
                <wp:extent cx="1016000" cy="148590"/>
                <wp:effectExtent l="0" t="1270" r="3175" b="2540"/>
                <wp:wrapNone/>
                <wp:docPr id="130704646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EBEB8" w14:textId="77777777" w:rsidR="00815FD0" w:rsidRDefault="00000000">
                            <w:pPr>
                              <w:spacing w:after="0" w:line="250" w:lineRule="auto"/>
                            </w:pPr>
                            <w:r>
                              <w:rPr>
                                <w:rFonts w:cs="Miriam" w:hint="cs"/>
                                <w:szCs w:val="22"/>
                                <w:rtl/>
                              </w:rPr>
                              <w:t>דוח תקופתי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64713E" id="Rectangle 19" o:spid="_x0000_s1030" style="position:absolute;left:0;text-align:left;margin-left:435pt;margin-top:3pt;width:80pt;height:1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" o:allowincell="f" o:allowoverlap="f" filled="f" stroked="f">
                <v:textbox style="mso-fit-shape-to-text:t" inset="0,0,0,0">
                  <w:txbxContent>
                    <w:p w14:paraId="5CEEBEB8" w14:textId="77777777" w:rsidR="00815FD0" w:rsidRDefault="00000000">
                      <w:pPr>
                        <w:spacing w:after="0" w:line="250" w:lineRule="auto"/>
                      </w:pPr>
                      <w:r>
                        <w:rPr>
                          <w:rFonts w:cs="Miriam" w:hint="cs"/>
                          <w:szCs w:val="22"/>
                          <w:rtl/>
                        </w:rPr>
                        <w:t>דוח תקופתי</w:t>
                      </w:r>
                    </w:p>
                  </w:txbxContent>
                </v:textbox>
              </v:rect>
            </w:pict>
          </mc:Fallback>
        </mc:AlternateContent>
      </w:r>
      <w:r w:rsidR="00000000">
        <w:rPr>
          <w:rFonts w:cs="FrankRuehl" w:hint="cs"/>
          <w:szCs w:val="34"/>
          <w:rtl/>
        </w:rPr>
        <w:t>5.</w:t>
      </w:r>
      <w:r w:rsidR="00000000">
        <w:rPr>
          <w:rFonts w:cs="FrankRuehl" w:hint="cs"/>
          <w:szCs w:val="34"/>
          <w:rtl/>
        </w:rPr>
        <w:tab/>
      </w:r>
      <w:r w:rsidR="00000000">
        <w:rPr>
          <w:rFonts w:cs="FrankRuehl" w:hint="cs"/>
          <w:szCs w:val="26"/>
          <w:rtl/>
        </w:rPr>
        <w:t>(א)</w:t>
      </w:r>
      <w:r w:rsidR="00000000">
        <w:rPr>
          <w:rFonts w:cs="FrankRuehl" w:hint="cs"/>
          <w:szCs w:val="26"/>
          <w:rtl/>
        </w:rPr>
        <w:tab/>
        <w:t>רשות ציבורית תפרסם דין וחשבון שנתי שיכלול מידע על אודות פעילותה ותחומי אחריותה והסבר על תפקידיה וסמכויותיה; הדין וחשבון יכלול גם דיווח של הממונה על הפעלת חוק זה ברשות הציבורית, ואולם רשאי הוא לפרסם דיווח זה בנפרד. </w:t>
      </w:r>
    </w:p>
    <w:p w14:paraId="6176CD26"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שר המשפטים, באישור ועדת החוקה חוק ומשפט של הכנסת, רשאי לקבוע, לגבי רשות ציבורית מסוימת, כאמור בפסקאות (1) ו-(6) עד (10) להגדרה "רשות ציבורית", או לסוגים של רשויות ציבוריות, תקופה אחרת לפרסום של הדין וחשבון.</w:t>
      </w:r>
    </w:p>
    <w:p w14:paraId="25A90D90"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הוראות בדבר מתכונת הדין וחשבון ודרך פרסומו, ייקבעו בתקנות.</w:t>
      </w:r>
    </w:p>
    <w:p w14:paraId="617A1039" w14:textId="3F30A0CC"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5" w:name="h6"/>
      <w:bookmarkEnd w:id="5"/>
      <w:r>
        <w:rPr>
          <w:noProof/>
        </w:rPr>
        <mc:AlternateContent>
          <mc:Choice Requires="wps">
            <w:drawing>
              <wp:anchor distT="0" distB="0" distL="114300" distR="114300" simplePos="0" relativeHeight="251652096" behindDoc="0" locked="0" layoutInCell="0" allowOverlap="0" wp14:anchorId="31592B85" wp14:editId="7F00079A">
                <wp:simplePos x="0" y="0"/>
                <wp:positionH relativeFrom="column">
                  <wp:posOffset>5524500</wp:posOffset>
                </wp:positionH>
                <wp:positionV relativeFrom="paragraph">
                  <wp:posOffset>38100</wp:posOffset>
                </wp:positionV>
                <wp:extent cx="1016000" cy="297180"/>
                <wp:effectExtent l="0" t="635" r="3175" b="0"/>
                <wp:wrapNone/>
                <wp:docPr id="213192547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82BD" w14:textId="77777777" w:rsidR="00815FD0" w:rsidRDefault="00000000">
                            <w:pPr>
                              <w:spacing w:after="0" w:line="250" w:lineRule="auto"/>
                            </w:pPr>
                            <w:r>
                              <w:rPr>
                                <w:rFonts w:cs="Miriam" w:hint="cs"/>
                                <w:szCs w:val="22"/>
                                <w:rtl/>
                              </w:rPr>
                              <w:t>הנחיות מינהליות וחוקי עזר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1592B85" id="Rectangle 18" o:spid="_x0000_s1031" style="position:absolute;left:0;text-align:left;margin-left:435pt;margin-top:3pt;width:80pt;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" o:allowincell="f" o:allowoverlap="f" filled="f" stroked="f">
                <v:textbox style="mso-fit-shape-to-text:t" inset="0,0,0,0">
                  <w:txbxContent>
                    <w:p w14:paraId="779582BD" w14:textId="77777777" w:rsidR="00815FD0" w:rsidRDefault="00000000">
                      <w:pPr>
                        <w:spacing w:after="0" w:line="250" w:lineRule="auto"/>
                      </w:pPr>
                      <w:r>
                        <w:rPr>
                          <w:rFonts w:cs="Miriam" w:hint="cs"/>
                          <w:szCs w:val="22"/>
                          <w:rtl/>
                        </w:rPr>
                        <w:t>הנחיות מינהליות וחוקי עזר</w:t>
                      </w:r>
                    </w:p>
                  </w:txbxContent>
                </v:textbox>
              </v:rect>
            </w:pict>
          </mc:Fallback>
        </mc:AlternateContent>
      </w:r>
      <w:r w:rsidR="00000000">
        <w:rPr>
          <w:rFonts w:cs="FrankRuehl" w:hint="cs"/>
          <w:szCs w:val="34"/>
          <w:rtl/>
        </w:rPr>
        <w:t>6.</w:t>
      </w:r>
      <w:r w:rsidR="00000000">
        <w:rPr>
          <w:rFonts w:cs="FrankRuehl" w:hint="cs"/>
          <w:szCs w:val="34"/>
          <w:rtl/>
        </w:rPr>
        <w:tab/>
      </w:r>
      <w:r w:rsidR="00000000">
        <w:rPr>
          <w:rFonts w:cs="FrankRuehl" w:hint="cs"/>
          <w:szCs w:val="26"/>
          <w:rtl/>
        </w:rPr>
        <w:t>(א)</w:t>
      </w:r>
      <w:r w:rsidR="00000000">
        <w:rPr>
          <w:rFonts w:cs="FrankRuehl" w:hint="cs"/>
          <w:szCs w:val="26"/>
          <w:rtl/>
        </w:rPr>
        <w:tab/>
        <w:t>רשות ציבורית תעמיד לעיון הציבור את ההנחיות המינהליות הכתובות שעל פיהן היא פועלת ושיש להן נגיעה או חשיבות לציבור.</w:t>
      </w:r>
    </w:p>
    <w:p w14:paraId="22CD3C6A"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הוראות סעיף 9 יחולו, בשינויים המחויבים, על העמדת הנחיות מינהליות לעיון הציבור לפי סעיף זה.</w:t>
      </w:r>
    </w:p>
    <w:p w14:paraId="369382F4"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רשות מקומית תעמיד לעיון הציבור את חוקי העזר שלה.</w:t>
      </w:r>
    </w:p>
    <w:p w14:paraId="54139950" w14:textId="4300A3BB"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6" w:name="h7"/>
      <w:bookmarkEnd w:id="6"/>
      <w:r>
        <w:rPr>
          <w:noProof/>
        </w:rPr>
        <mc:AlternateContent>
          <mc:Choice Requires="wps">
            <w:drawing>
              <wp:anchor distT="0" distB="0" distL="114300" distR="114300" simplePos="0" relativeHeight="251653120" behindDoc="0" locked="0" layoutInCell="0" allowOverlap="0" wp14:anchorId="44E7588B" wp14:editId="660AAFA1">
                <wp:simplePos x="0" y="0"/>
                <wp:positionH relativeFrom="column">
                  <wp:posOffset>5524500</wp:posOffset>
                </wp:positionH>
                <wp:positionV relativeFrom="paragraph">
                  <wp:posOffset>38100</wp:posOffset>
                </wp:positionV>
                <wp:extent cx="1016000" cy="297180"/>
                <wp:effectExtent l="0" t="0" r="3175" b="0"/>
                <wp:wrapNone/>
                <wp:docPr id="174899015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7A2F" w14:textId="77777777" w:rsidR="00815FD0" w:rsidRDefault="00000000">
                            <w:pPr>
                              <w:spacing w:after="0" w:line="250" w:lineRule="auto"/>
                            </w:pPr>
                            <w:r>
                              <w:rPr>
                                <w:rFonts w:cs="Miriam" w:hint="cs"/>
                                <w:szCs w:val="22"/>
                                <w:rtl/>
                              </w:rPr>
                              <w:t>מידע על איכות הסביבה</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4E7588B" id="Rectangle 17" o:spid="_x0000_s1032" style="position:absolute;left:0;text-align:left;margin-left:435pt;margin-top:3pt;width:80pt;height:2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" o:allowincell="f" o:allowoverlap="f" filled="f" stroked="f">
                <v:textbox style="mso-fit-shape-to-text:t" inset="0,0,0,0">
                  <w:txbxContent>
                    <w:p w14:paraId="60467A2F" w14:textId="77777777" w:rsidR="00815FD0" w:rsidRDefault="00000000">
                      <w:pPr>
                        <w:spacing w:after="0" w:line="250" w:lineRule="auto"/>
                      </w:pPr>
                      <w:r>
                        <w:rPr>
                          <w:rFonts w:cs="Miriam" w:hint="cs"/>
                          <w:szCs w:val="22"/>
                          <w:rtl/>
                        </w:rPr>
                        <w:t>מידע על איכות הסביבה</w:t>
                      </w:r>
                    </w:p>
                  </w:txbxContent>
                </v:textbox>
              </v:rect>
            </w:pict>
          </mc:Fallback>
        </mc:AlternateContent>
      </w:r>
      <w:r w:rsidR="00000000">
        <w:rPr>
          <w:rFonts w:cs="FrankRuehl" w:hint="cs"/>
          <w:szCs w:val="34"/>
          <w:rtl/>
        </w:rPr>
        <w:t>6א.</w:t>
      </w:r>
      <w:r w:rsidR="00000000">
        <w:rPr>
          <w:rFonts w:cs="FrankRuehl" w:hint="cs"/>
          <w:szCs w:val="34"/>
          <w:rtl/>
        </w:rPr>
        <w:tab/>
      </w:r>
      <w:r w:rsidR="00000000">
        <w:rPr>
          <w:rFonts w:cs="FrankRuehl" w:hint="cs"/>
          <w:szCs w:val="26"/>
          <w:rtl/>
        </w:rPr>
        <w:t>(א)</w:t>
      </w:r>
      <w:r w:rsidR="00000000">
        <w:rPr>
          <w:rFonts w:cs="FrankRuehl" w:hint="cs"/>
          <w:szCs w:val="26"/>
          <w:rtl/>
        </w:rPr>
        <w:tab/>
        <w:t>רשות ציבורית תעמיד לעיון הציבור מידע על איכות הסביבה שיש ברשותה, באתר האינטרנט של הרשות הציבורית, אם קיים אתר כאמור, ובדרכים נוספות שיקבע השר לאיכות הסביבה; לענין זה, "מידע על איכות הסביבה" – מידע על חומרים שנפלטו, שנשפכו, שסולקו או שהושלכו לסביבה ותוצאות של מדידות רעש, ריח וקרינה, שלא ברשות היחיד.</w:t>
      </w:r>
    </w:p>
    <w:p w14:paraId="0EED87A1"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הוראות סעיפים 9 ו-13 יחולו, בשינויים המחויבים, על העמדת המידע לעיון הציבור לפי סעיף זה.</w:t>
      </w:r>
    </w:p>
    <w:p w14:paraId="4978DEBD"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השר לאיכות הסביבה, בהסכמת שר האוצר ובהתייעצות עם שר המשפטים ועם השר הנוגע בדבר, ולענין רשויות מקומיות גם בהסכמת שר הפנים, יקבע את סוגי המידע על איכות הסביבה שיועמד לעיון הציבור, את דרכי העמדתו כאמור ואת המועדים לכך; תקנות כאמור יובאו לאישור ועדת הפנים ואיכות הסביבה של הכנסת.</w:t>
      </w:r>
    </w:p>
    <w:p w14:paraId="3D05DBCA" w14:textId="4052FE4E"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7" w:name="h8"/>
      <w:bookmarkEnd w:id="7"/>
      <w:r>
        <w:rPr>
          <w:noProof/>
        </w:rPr>
        <mc:AlternateContent>
          <mc:Choice Requires="wps">
            <w:drawing>
              <wp:anchor distT="0" distB="0" distL="114300" distR="114300" simplePos="0" relativeHeight="251654144" behindDoc="0" locked="0" layoutInCell="0" allowOverlap="0" wp14:anchorId="7A3CB46B" wp14:editId="6210F9FB">
                <wp:simplePos x="0" y="0"/>
                <wp:positionH relativeFrom="column">
                  <wp:posOffset>5524500</wp:posOffset>
                </wp:positionH>
                <wp:positionV relativeFrom="paragraph">
                  <wp:posOffset>38100</wp:posOffset>
                </wp:positionV>
                <wp:extent cx="1016000" cy="297180"/>
                <wp:effectExtent l="0" t="635" r="3175" b="0"/>
                <wp:wrapNone/>
                <wp:docPr id="6081237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649CB" w14:textId="77777777" w:rsidR="00815FD0" w:rsidRDefault="00000000">
                            <w:pPr>
                              <w:spacing w:after="0" w:line="250" w:lineRule="auto"/>
                            </w:pPr>
                            <w:r>
                              <w:rPr>
                                <w:rFonts w:cs="Miriam" w:hint="cs"/>
                                <w:szCs w:val="22"/>
                                <w:rtl/>
                              </w:rPr>
                              <w:t>נוהל הגשת בקשות והטיפול בהן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A3CB46B" id="Rectangle 16" o:spid="_x0000_s1033" style="position:absolute;left:0;text-align:left;margin-left:435pt;margin-top:3pt;width:80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" o:allowincell="f" o:allowoverlap="f" filled="f" stroked="f">
                <v:textbox style="mso-fit-shape-to-text:t" inset="0,0,0,0">
                  <w:txbxContent>
                    <w:p w14:paraId="0CA649CB" w14:textId="77777777" w:rsidR="00815FD0" w:rsidRDefault="00000000">
                      <w:pPr>
                        <w:spacing w:after="0" w:line="250" w:lineRule="auto"/>
                      </w:pPr>
                      <w:r>
                        <w:rPr>
                          <w:rFonts w:cs="Miriam" w:hint="cs"/>
                          <w:szCs w:val="22"/>
                          <w:rtl/>
                        </w:rPr>
                        <w:t>נוהל הגשת בקשות והטיפול בהן</w:t>
                      </w:r>
                    </w:p>
                  </w:txbxContent>
                </v:textbox>
              </v:rect>
            </w:pict>
          </mc:Fallback>
        </mc:AlternateContent>
      </w:r>
      <w:r w:rsidR="00000000">
        <w:rPr>
          <w:rFonts w:cs="FrankRuehl" w:hint="cs"/>
          <w:szCs w:val="34"/>
          <w:rtl/>
        </w:rPr>
        <w:t>7.</w:t>
      </w:r>
      <w:r w:rsidR="00000000">
        <w:rPr>
          <w:rFonts w:cs="FrankRuehl" w:hint="cs"/>
          <w:szCs w:val="34"/>
          <w:rtl/>
        </w:rPr>
        <w:tab/>
      </w:r>
      <w:r w:rsidR="00000000">
        <w:rPr>
          <w:rFonts w:cs="FrankRuehl" w:hint="cs"/>
          <w:szCs w:val="26"/>
          <w:rtl/>
        </w:rPr>
        <w:t>(א)</w:t>
      </w:r>
      <w:r w:rsidR="00000000">
        <w:rPr>
          <w:rFonts w:cs="FrankRuehl" w:hint="cs"/>
          <w:szCs w:val="26"/>
          <w:rtl/>
        </w:rPr>
        <w:tab/>
        <w:t>בקשה לקבלת מידע תוגש בכתב לממונה או למי שהוסמך לכך על ידו; אין המבקש חייב לציין את הטעם לבקשתו. </w:t>
      </w:r>
    </w:p>
    <w:p w14:paraId="24CDBA23"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lastRenderedPageBreak/>
        <w:t>(ב)</w:t>
      </w:r>
      <w:r>
        <w:rPr>
          <w:rFonts w:cs="FrankRuehl" w:hint="cs"/>
          <w:szCs w:val="26"/>
          <w:rtl/>
        </w:rPr>
        <w:tab/>
        <w:t>הרשות הציבורית תודיע למבקש המידע ללא שיהוי, ולא יאוחר מ-30 ימים מקבלת הבקשה, על החלטתה בבקשתו; ראש הרשות הציבורית, או מי שהוא הסמיך לכך, רשאי להאריך את התקופה האמורה, במקרה הצורך, ב-30 ימים נוספים, ובלבד שהודיע על כך למבקש בכתב, ונימק את הצורך בהארכת התקופה.</w:t>
      </w:r>
    </w:p>
    <w:p w14:paraId="036A9DD2"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ראש הרשות הציבורית רשאי להאריך, הארכה נוספת, את התקופה האמורה בסעיף קטן (ב), בהחלטה מנומקת אשר תישלח למבקש תוך התקופה האמורה, אם בשל היקפו או מורכבותו של המידע המבוקש יש צורך להאריך את התקופה; ההארכה הנוספת לא תעלה על התקופה המתחייבת מהטעמים האמורים, ובכל מקרה לא תעלה על 60 ימים. </w:t>
      </w:r>
    </w:p>
    <w:p w14:paraId="2C35313F"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(ד)</w:t>
      </w:r>
      <w:r>
        <w:rPr>
          <w:rFonts w:cs="FrankRuehl" w:hint="cs"/>
          <w:szCs w:val="26"/>
          <w:rtl/>
        </w:rPr>
        <w:tab/>
        <w:t>החליטה הרשות הציבורית להעמיד את המידע לרשות המבקש, תבוצע החלטתה תוך זמן סביר בנסיבות הענין אך לא יאוחר מ-15 ימים, זולת אם קבע הממונה, מטעמים מיוחדים, כי ההחלטה תבוצע במועד מאוחר יותר; הרשות תודיע למבקש היכן ומתי יעמוד המידע לרשותו. </w:t>
      </w:r>
    </w:p>
    <w:p w14:paraId="0FAEFAF5"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(ה)</w:t>
      </w:r>
      <w:r>
        <w:rPr>
          <w:rFonts w:cs="FrankRuehl" w:hint="cs"/>
          <w:szCs w:val="26"/>
          <w:rtl/>
        </w:rPr>
        <w:tab/>
        <w:t>המידע יועמד לרשות המבקש כפי שהוא מצוי בידי הרשות הציבורית ואין הרשות חייבת לעבד את המידע לצרכיו של המבקש; היה המידע ממוחשב, הוא יופק עבור המבקש באמצעים המשמשים דרך קבע את הרשות.</w:t>
      </w:r>
    </w:p>
    <w:p w14:paraId="46DE3DE7"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(ו)</w:t>
      </w:r>
      <w:r>
        <w:rPr>
          <w:rFonts w:cs="FrankRuehl" w:hint="cs"/>
          <w:szCs w:val="26"/>
          <w:rtl/>
        </w:rPr>
        <w:tab/>
        <w:t>החליטה הרשות הציבורית לדחות את בקשת המבקש, כולה או חלקה, תשלח למבקש הודעה בכתב שתפרט את נימוקי ההחלטה, ותיידע את המבקש על זכותו לעתור נגד ההחלטה לפי הוראות חוק בתי משפט לענינים מינהליים, התש"ס-2000.</w:t>
      </w:r>
    </w:p>
    <w:p w14:paraId="56F9A9E6" w14:textId="647FD84F"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8" w:name="h9"/>
      <w:bookmarkEnd w:id="8"/>
      <w:r>
        <w:rPr>
          <w:noProof/>
        </w:rPr>
        <mc:AlternateContent>
          <mc:Choice Requires="wps">
            <w:drawing>
              <wp:anchor distT="0" distB="0" distL="114300" distR="114300" simplePos="0" relativeHeight="251655168" behindDoc="0" locked="0" layoutInCell="0" allowOverlap="0" wp14:anchorId="05E26A9B" wp14:editId="7F907906">
                <wp:simplePos x="0" y="0"/>
                <wp:positionH relativeFrom="column">
                  <wp:posOffset>5524500</wp:posOffset>
                </wp:positionH>
                <wp:positionV relativeFrom="paragraph">
                  <wp:posOffset>38100</wp:posOffset>
                </wp:positionV>
                <wp:extent cx="1016000" cy="297180"/>
                <wp:effectExtent l="0" t="3175" r="3175" b="4445"/>
                <wp:wrapNone/>
                <wp:docPr id="123220289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89210" w14:textId="77777777" w:rsidR="00815FD0" w:rsidRDefault="00000000">
                            <w:pPr>
                              <w:spacing w:after="0" w:line="250" w:lineRule="auto"/>
                            </w:pPr>
                            <w:r>
                              <w:rPr>
                                <w:rFonts w:cs="Miriam" w:hint="cs"/>
                                <w:szCs w:val="22"/>
                                <w:rtl/>
                              </w:rPr>
                              <w:t>דחיית בקשות במקרים מסוימים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5E26A9B" id="Rectangle 15" o:spid="_x0000_s1034" style="position:absolute;left:0;text-align:left;margin-left:435pt;margin-top:3pt;width:80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" o:allowincell="f" o:allowoverlap="f" filled="f" stroked="f">
                <v:textbox style="mso-fit-shape-to-text:t" inset="0,0,0,0">
                  <w:txbxContent>
                    <w:p w14:paraId="09A89210" w14:textId="77777777" w:rsidR="00815FD0" w:rsidRDefault="00000000">
                      <w:pPr>
                        <w:spacing w:after="0" w:line="250" w:lineRule="auto"/>
                      </w:pPr>
                      <w:r>
                        <w:rPr>
                          <w:rFonts w:cs="Miriam" w:hint="cs"/>
                          <w:szCs w:val="22"/>
                          <w:rtl/>
                        </w:rPr>
                        <w:t>דחיית בקשות במקרים מסוימים</w:t>
                      </w:r>
                    </w:p>
                  </w:txbxContent>
                </v:textbox>
              </v:rect>
            </w:pict>
          </mc:Fallback>
        </mc:AlternateContent>
      </w:r>
      <w:r w:rsidR="00000000">
        <w:rPr>
          <w:rFonts w:cs="FrankRuehl" w:hint="cs"/>
          <w:szCs w:val="34"/>
          <w:rtl/>
        </w:rPr>
        <w:t>8.</w:t>
      </w:r>
      <w:r w:rsidR="00000000">
        <w:rPr>
          <w:rFonts w:cs="FrankRuehl" w:hint="cs"/>
          <w:szCs w:val="26"/>
          <w:rtl/>
        </w:rPr>
        <w:tab/>
        <w:t>רשות ציבורית רשאית לדחות בקשה לקבלת מידע באחד מאלה:</w:t>
      </w:r>
    </w:p>
    <w:p w14:paraId="42F7B45F" w14:textId="77777777" w:rsidR="00815FD0" w:rsidRDefault="00000000">
      <w:pPr>
        <w:tabs>
          <w:tab w:val="left" w:pos="720"/>
          <w:tab w:val="left" w:pos="1440"/>
          <w:tab w:val="left" w:pos="2160"/>
          <w:tab w:val="left" w:pos="2880"/>
          <w:tab w:val="left" w:pos="3600"/>
        </w:tabs>
        <w:spacing w:before="45" w:after="50" w:line="250" w:lineRule="auto"/>
        <w:jc w:val="both"/>
      </w:pPr>
      <w:r>
        <w:rPr>
          <w:rFonts w:cs="FrankRuehl" w:hint="cs"/>
          <w:szCs w:val="26"/>
          <w:rtl/>
        </w:rPr>
        <w:br/>
      </w:r>
    </w:p>
    <w:p w14:paraId="33CF75DB"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(1)</w:t>
      </w:r>
      <w:r>
        <w:rPr>
          <w:rFonts w:cs="FrankRuehl" w:hint="cs"/>
          <w:szCs w:val="26"/>
          <w:rtl/>
        </w:rPr>
        <w:tab/>
        <w:t>הטיפול בה מצריך הקצאת משאבים בלתי סבירה; </w:t>
      </w:r>
    </w:p>
    <w:p w14:paraId="38E92821"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(2)</w:t>
      </w:r>
      <w:r>
        <w:rPr>
          <w:rFonts w:cs="FrankRuehl" w:hint="cs"/>
          <w:szCs w:val="26"/>
          <w:rtl/>
        </w:rPr>
        <w:tab/>
        <w:t>המידע נוצר או נתקבל בידה למעלה משבע שנים לפני הגשת הבקשה ואיתורו כרוך בקושי של ממש;</w:t>
      </w:r>
    </w:p>
    <w:p w14:paraId="63B53E19"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(3)</w:t>
      </w:r>
      <w:r>
        <w:rPr>
          <w:rFonts w:cs="FrankRuehl" w:hint="cs"/>
          <w:szCs w:val="26"/>
          <w:rtl/>
        </w:rPr>
        <w:tab/>
        <w:t>לאחר שנקטה אמצעים סבירים, התברר לה שלא ניתן לאתר את המידע או שאינו מצוי ברשותה; </w:t>
      </w:r>
    </w:p>
    <w:p w14:paraId="3B1C2331"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(4)</w:t>
      </w:r>
      <w:r>
        <w:rPr>
          <w:rFonts w:cs="FrankRuehl" w:hint="cs"/>
          <w:szCs w:val="26"/>
          <w:rtl/>
        </w:rPr>
        <w:tab/>
        <w:t>המידע פורסם ועומד לרשות הציבור או לעיונו, בין בתשלום ובין שלא בתשלום; ואולם בדחותה את הבקשה לפי פסקה זו, תודיע הרשות למבקש היכן יוכל לרכוש את המידע המבוקש, לקבלו או לעיין בו; </w:t>
      </w:r>
    </w:p>
    <w:p w14:paraId="417EEE09"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(5)</w:t>
      </w:r>
      <w:r>
        <w:rPr>
          <w:rFonts w:cs="FrankRuehl" w:hint="cs"/>
          <w:szCs w:val="26"/>
          <w:rtl/>
        </w:rPr>
        <w:tab/>
        <w:t>המידע נוצר בידי רשות ציבורית אחרת, ואין בהפניית המבקש לאותה רשות כדי להכביד הכבדה בלתי סבירה על קבלתו של המידע על ידו; ואולם, בדחותה בקשה לפי פסקה זו, תפנה הרשות הציבורית את המבקש לרשות הציבורית אשר בידיה נוצר המידע.</w:t>
      </w:r>
    </w:p>
    <w:p w14:paraId="3D7EA3F0" w14:textId="7C03ABFA"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9" w:name="h10"/>
      <w:bookmarkEnd w:id="9"/>
      <w:r>
        <w:rPr>
          <w:noProof/>
        </w:rPr>
        <mc:AlternateContent>
          <mc:Choice Requires="wps">
            <w:drawing>
              <wp:anchor distT="0" distB="0" distL="114300" distR="114300" simplePos="0" relativeHeight="251656192" behindDoc="0" locked="0" layoutInCell="0" allowOverlap="0" wp14:anchorId="5A2067FE" wp14:editId="5DB8222B">
                <wp:simplePos x="0" y="0"/>
                <wp:positionH relativeFrom="column">
                  <wp:posOffset>5524500</wp:posOffset>
                </wp:positionH>
                <wp:positionV relativeFrom="paragraph">
                  <wp:posOffset>38100</wp:posOffset>
                </wp:positionV>
                <wp:extent cx="1016000" cy="445135"/>
                <wp:effectExtent l="0" t="3810" r="3175" b="0"/>
                <wp:wrapNone/>
                <wp:docPr id="129887699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4E614" w14:textId="77777777" w:rsidR="00815FD0" w:rsidRDefault="00000000">
                            <w:pPr>
                              <w:spacing w:after="0" w:line="250" w:lineRule="auto"/>
                            </w:pPr>
                            <w:r>
                              <w:rPr>
                                <w:rFonts w:cs="Miriam" w:hint="cs"/>
                                <w:szCs w:val="22"/>
                                <w:rtl/>
                              </w:rPr>
                              <w:t>מידע שאין למסרו או שאין חובה למסרו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A2067FE" id="Rectangle 14" o:spid="_x0000_s1035" style="position:absolute;left:0;text-align:left;margin-left:435pt;margin-top:3pt;width:80pt;height:3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" o:allowincell="f" o:allowoverlap="f" filled="f" stroked="f">
                <v:textbox style="mso-fit-shape-to-text:t" inset="0,0,0,0">
                  <w:txbxContent>
                    <w:p w14:paraId="26A4E614" w14:textId="77777777" w:rsidR="00815FD0" w:rsidRDefault="00000000">
                      <w:pPr>
                        <w:spacing w:after="0" w:line="250" w:lineRule="auto"/>
                      </w:pPr>
                      <w:r>
                        <w:rPr>
                          <w:rFonts w:cs="Miriam" w:hint="cs"/>
                          <w:szCs w:val="22"/>
                          <w:rtl/>
                        </w:rPr>
                        <w:t>מידע שאין למסרו או שאין חובה למסרו</w:t>
                      </w:r>
                    </w:p>
                  </w:txbxContent>
                </v:textbox>
              </v:rect>
            </w:pict>
          </mc:Fallback>
        </mc:AlternateContent>
      </w:r>
      <w:r w:rsidR="00000000">
        <w:rPr>
          <w:rFonts w:cs="FrankRuehl" w:hint="cs"/>
          <w:szCs w:val="34"/>
          <w:rtl/>
        </w:rPr>
        <w:t>9.</w:t>
      </w:r>
      <w:r w:rsidR="00000000">
        <w:rPr>
          <w:rFonts w:cs="FrankRuehl" w:hint="cs"/>
          <w:szCs w:val="34"/>
          <w:rtl/>
        </w:rPr>
        <w:tab/>
      </w:r>
      <w:r w:rsidR="00000000">
        <w:rPr>
          <w:rFonts w:cs="FrankRuehl" w:hint="cs"/>
          <w:szCs w:val="26"/>
          <w:rtl/>
        </w:rPr>
        <w:t>(א)</w:t>
      </w:r>
      <w:r w:rsidR="00000000">
        <w:rPr>
          <w:rFonts w:cs="FrankRuehl" w:hint="cs"/>
          <w:szCs w:val="26"/>
          <w:rtl/>
        </w:rPr>
        <w:tab/>
        <w:t>רשות ציבורית לא תמסור מידע שהוא אחד מאלה:</w:t>
      </w:r>
    </w:p>
    <w:p w14:paraId="3E6411C5" w14:textId="77777777" w:rsidR="00815FD0" w:rsidRDefault="00000000">
      <w:pPr>
        <w:tabs>
          <w:tab w:val="left" w:pos="720"/>
          <w:tab w:val="left" w:pos="1440"/>
          <w:tab w:val="left" w:pos="2160"/>
          <w:tab w:val="left" w:pos="2880"/>
          <w:tab w:val="left" w:pos="3600"/>
        </w:tabs>
        <w:spacing w:before="45" w:after="50" w:line="250" w:lineRule="auto"/>
        <w:jc w:val="both"/>
      </w:pPr>
      <w:r>
        <w:rPr>
          <w:rFonts w:cs="FrankRuehl" w:hint="cs"/>
          <w:szCs w:val="26"/>
          <w:rtl/>
        </w:rPr>
        <w:br/>
      </w:r>
    </w:p>
    <w:p w14:paraId="200A7568"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w:t>
      </w:r>
      <w:r>
        <w:rPr>
          <w:rFonts w:cs="FrankRuehl" w:hint="cs"/>
          <w:szCs w:val="26"/>
          <w:rtl/>
        </w:rPr>
        <w:tab/>
        <w:t>מידע אשר בגילויו יש חשש לפגיעה בבטחון המדינה, ביחסי החוץ שלה, בבטחון הציבור או בבטחונו או בשלומו של אדם; </w:t>
      </w:r>
    </w:p>
    <w:p w14:paraId="4C46CB28"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(2)</w:t>
      </w:r>
      <w:r>
        <w:rPr>
          <w:rFonts w:cs="FrankRuehl" w:hint="cs"/>
          <w:szCs w:val="26"/>
          <w:rtl/>
        </w:rPr>
        <w:tab/>
        <w:t>מידע בנושאים ששר הבטחון, מטעמים של שמירה על בטחון המדינה, קבע אותם בצו, באישור הועדה המשותפת; </w:t>
      </w:r>
    </w:p>
    <w:p w14:paraId="52EC9618"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(3)</w:t>
      </w:r>
      <w:r>
        <w:rPr>
          <w:rFonts w:cs="FrankRuehl" w:hint="cs"/>
          <w:szCs w:val="26"/>
          <w:rtl/>
        </w:rPr>
        <w:tab/>
        <w:t>מידע שגילויו מהווה פגיעה בפרטיות, כמשמעותה בחוק הגנת הפרטיות, התשמ"א-1981 (להלן – חוק הגנת הפרטיות), אלא אם כן הגילוי מותר על פי דין;</w:t>
      </w:r>
    </w:p>
    <w:p w14:paraId="59470B62"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(4)</w:t>
      </w:r>
      <w:r>
        <w:rPr>
          <w:rFonts w:cs="FrankRuehl" w:hint="cs"/>
          <w:szCs w:val="26"/>
          <w:rtl/>
        </w:rPr>
        <w:tab/>
        <w:t>מידע אשר אין לגלותו על פי כל דין.</w:t>
      </w:r>
    </w:p>
    <w:p w14:paraId="158C8153"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lastRenderedPageBreak/>
        <w:t>(ב)</w:t>
      </w:r>
      <w:r>
        <w:rPr>
          <w:rFonts w:cs="FrankRuehl" w:hint="cs"/>
          <w:szCs w:val="26"/>
          <w:rtl/>
        </w:rPr>
        <w:tab/>
        <w:t>רשות ציבורית אינה חייבת למסור מידע שהוא אחד מאלה:</w:t>
      </w:r>
    </w:p>
    <w:p w14:paraId="4A4A1502"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w:t>
      </w:r>
      <w:r>
        <w:rPr>
          <w:rFonts w:cs="FrankRuehl" w:hint="cs"/>
          <w:szCs w:val="26"/>
          <w:rtl/>
        </w:rPr>
        <w:tab/>
        <w:t>מידע אשר גילויו עלול לשבש את התפקוד התקין של הרשות הציבורית או את יכולתה לבצע את תפקידיה; </w:t>
      </w:r>
    </w:p>
    <w:p w14:paraId="1714CEF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(2)</w:t>
      </w:r>
      <w:r>
        <w:rPr>
          <w:rFonts w:cs="FrankRuehl" w:hint="cs"/>
          <w:szCs w:val="26"/>
          <w:rtl/>
        </w:rPr>
        <w:tab/>
        <w:t>מידע על אודות מדיניות הנמצאת בשלבי עיצוב; </w:t>
      </w:r>
    </w:p>
    <w:p w14:paraId="14556A8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(3)</w:t>
      </w:r>
      <w:r>
        <w:rPr>
          <w:rFonts w:cs="FrankRuehl" w:hint="cs"/>
          <w:szCs w:val="26"/>
          <w:rtl/>
        </w:rPr>
        <w:tab/>
        <w:t>מידע על אודות פרטי משא ומתן עם גוף או עם אדם שמחוץ לרשות; </w:t>
      </w:r>
    </w:p>
    <w:p w14:paraId="2BE53DE6"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(4)</w:t>
      </w:r>
      <w:r>
        <w:rPr>
          <w:rFonts w:cs="FrankRuehl" w:hint="cs"/>
          <w:szCs w:val="26"/>
          <w:rtl/>
        </w:rPr>
        <w:tab/>
        <w:t>מידע בדבר דיונים פנימיים, תרשומות של התייעצויות פנימיות בין עובדי רשויות ציבוריות, חבריהן או יועציהן, או של דברים שנאמרו במסגרת תחקיר פנימי, וכן חוות דעת, טיוטה, עצה או המלצה, שניתנו לצורך קבלת החלטה, למעט התייעצויות הקבועות בדין; </w:t>
      </w:r>
    </w:p>
    <w:p w14:paraId="14846D82"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(5)</w:t>
      </w:r>
      <w:r>
        <w:rPr>
          <w:rFonts w:cs="FrankRuehl" w:hint="cs"/>
          <w:szCs w:val="26"/>
          <w:rtl/>
        </w:rPr>
        <w:tab/>
        <w:t>מידע הנוגע לניהול פנימי של הרשות הציבורית שאין לו נגיעה או חשיבות לציבור;</w:t>
      </w:r>
    </w:p>
    <w:p w14:paraId="3769DC9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(6)</w:t>
      </w:r>
      <w:r>
        <w:rPr>
          <w:rFonts w:cs="FrankRuehl" w:hint="cs"/>
          <w:szCs w:val="26"/>
          <w:rtl/>
        </w:rPr>
        <w:tab/>
        <w:t>מידע שהוא סוד מסחרי או סוד מקצועי או שהוא בעל ערך כלכלי שפרסומו עלול לפגוע פגיעה ממשית בערכו, וכן מידע הנוגע לענינים מסחריים או מקצועיים הקשורים לעסקיו של אדם, שגילויו עלול לפגוע פגיעה ממשית באינטרס מקצועי, מסחרי או כלכלי; למעט מידע שהוא אחד מאלה –</w:t>
      </w:r>
    </w:p>
    <w:p w14:paraId="734111FA" w14:textId="77777777" w:rsidR="00815FD0" w:rsidRDefault="00000000">
      <w:pPr>
        <w:tabs>
          <w:tab w:val="left" w:pos="720"/>
          <w:tab w:val="left" w:pos="1440"/>
          <w:tab w:val="left" w:pos="2160"/>
          <w:tab w:val="left" w:pos="2880"/>
          <w:tab w:val="left" w:pos="3600"/>
        </w:tabs>
        <w:spacing w:before="45" w:after="50" w:line="250" w:lineRule="auto"/>
        <w:ind w:left="2880" w:hanging="720"/>
        <w:jc w:val="both"/>
      </w:pPr>
      <w:r>
        <w:rPr>
          <w:rFonts w:cs="FrankRuehl" w:hint="cs"/>
          <w:szCs w:val="26"/>
          <w:rtl/>
        </w:rPr>
        <w:t>(א)</w:t>
      </w:r>
      <w:r>
        <w:rPr>
          <w:rFonts w:cs="FrankRuehl" w:hint="cs"/>
          <w:szCs w:val="26"/>
          <w:rtl/>
        </w:rPr>
        <w:tab/>
        <w:t>מידע על חומרים שנפלטו, שנשפכו, שסולקו או שהושלכו לסביבה; </w:t>
      </w:r>
    </w:p>
    <w:p w14:paraId="225BA4B3" w14:textId="77777777" w:rsidR="00815FD0" w:rsidRDefault="00000000">
      <w:pPr>
        <w:tabs>
          <w:tab w:val="left" w:pos="720"/>
          <w:tab w:val="left" w:pos="1440"/>
          <w:tab w:val="left" w:pos="2160"/>
          <w:tab w:val="left" w:pos="2880"/>
          <w:tab w:val="left" w:pos="3600"/>
        </w:tabs>
        <w:spacing w:before="45" w:after="50" w:line="250" w:lineRule="auto"/>
        <w:ind w:left="2880" w:hanging="720"/>
        <w:jc w:val="both"/>
      </w:pPr>
      <w:r>
        <w:rPr>
          <w:rFonts w:cs="FrankRuehl" w:hint="cs"/>
          <w:szCs w:val="26"/>
          <w:rtl/>
        </w:rPr>
        <w:t>(ב)</w:t>
      </w:r>
      <w:r>
        <w:rPr>
          <w:rFonts w:cs="FrankRuehl" w:hint="cs"/>
          <w:szCs w:val="26"/>
          <w:rtl/>
        </w:rPr>
        <w:tab/>
        <w:t>תוצאות של מדידות רעש, ריח וקרינה, שלא ברשות היחיד;</w:t>
      </w:r>
    </w:p>
    <w:p w14:paraId="30CA2AB0"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(7)</w:t>
      </w:r>
      <w:r>
        <w:rPr>
          <w:rFonts w:cs="FrankRuehl" w:hint="cs"/>
          <w:szCs w:val="26"/>
          <w:rtl/>
        </w:rPr>
        <w:tab/>
        <w:t>מידע שהגיע לידי הרשות הציבורית, שאי-גילויו היה תנאי למסירתו, או שגילויו עלול לפגוע בהמשך קבלת המידע; </w:t>
      </w:r>
    </w:p>
    <w:p w14:paraId="56D47C9A"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(8)</w:t>
      </w:r>
      <w:r>
        <w:rPr>
          <w:rFonts w:cs="FrankRuehl" w:hint="cs"/>
          <w:szCs w:val="26"/>
          <w:rtl/>
        </w:rPr>
        <w:tab/>
        <w:t>מידע על אודות שיטות עבודה ונהלים של רשות ציבורית העוסקת באכיפת החוק, או שיש לה סמכות חקירה או ביקורת או בירור תלונות על פי דין, אם גילויו עלול לגרום לאחד מאלה:</w:t>
      </w:r>
    </w:p>
    <w:p w14:paraId="30BCF18B" w14:textId="77777777" w:rsidR="00815FD0" w:rsidRDefault="00000000">
      <w:pPr>
        <w:tabs>
          <w:tab w:val="left" w:pos="720"/>
          <w:tab w:val="left" w:pos="1440"/>
          <w:tab w:val="left" w:pos="2160"/>
          <w:tab w:val="left" w:pos="2880"/>
          <w:tab w:val="left" w:pos="3600"/>
        </w:tabs>
        <w:spacing w:before="45" w:after="50" w:line="250" w:lineRule="auto"/>
        <w:ind w:left="2880" w:hanging="720"/>
        <w:jc w:val="both"/>
      </w:pPr>
      <w:r>
        <w:rPr>
          <w:rFonts w:cs="FrankRuehl" w:hint="cs"/>
          <w:szCs w:val="26"/>
          <w:rtl/>
        </w:rPr>
        <w:t>(א)</w:t>
      </w:r>
      <w:r>
        <w:rPr>
          <w:rFonts w:cs="FrankRuehl" w:hint="cs"/>
          <w:szCs w:val="26"/>
          <w:rtl/>
        </w:rPr>
        <w:tab/>
        <w:t>פגיעה בפעולות האכיפה או הביקורת או בירור התלונות של הרשות; </w:t>
      </w:r>
    </w:p>
    <w:p w14:paraId="5B8B33EA" w14:textId="77777777" w:rsidR="00815FD0" w:rsidRDefault="00000000">
      <w:pPr>
        <w:tabs>
          <w:tab w:val="left" w:pos="720"/>
          <w:tab w:val="left" w:pos="1440"/>
          <w:tab w:val="left" w:pos="2160"/>
          <w:tab w:val="left" w:pos="2880"/>
          <w:tab w:val="left" w:pos="3600"/>
        </w:tabs>
        <w:spacing w:before="45" w:after="50" w:line="250" w:lineRule="auto"/>
        <w:ind w:left="2880" w:hanging="720"/>
        <w:jc w:val="both"/>
      </w:pPr>
      <w:r>
        <w:rPr>
          <w:rFonts w:cs="FrankRuehl" w:hint="cs"/>
          <w:szCs w:val="26"/>
          <w:rtl/>
        </w:rPr>
        <w:t>(ב)</w:t>
      </w:r>
      <w:r>
        <w:rPr>
          <w:rFonts w:cs="FrankRuehl" w:hint="cs"/>
          <w:szCs w:val="26"/>
          <w:rtl/>
        </w:rPr>
        <w:tab/>
        <w:t>פגיעה בהליכי חקירה או משפט או בזכותו של אדם למשפט הוגן; </w:t>
      </w:r>
    </w:p>
    <w:p w14:paraId="065390B9" w14:textId="77777777" w:rsidR="00815FD0" w:rsidRDefault="00000000">
      <w:pPr>
        <w:tabs>
          <w:tab w:val="left" w:pos="720"/>
          <w:tab w:val="left" w:pos="1440"/>
          <w:tab w:val="left" w:pos="2160"/>
          <w:tab w:val="left" w:pos="2880"/>
          <w:tab w:val="left" w:pos="3600"/>
        </w:tabs>
        <w:spacing w:before="45" w:after="50" w:line="250" w:lineRule="auto"/>
        <w:ind w:left="2880" w:hanging="720"/>
        <w:jc w:val="both"/>
      </w:pPr>
      <w:r>
        <w:rPr>
          <w:rFonts w:cs="FrankRuehl" w:hint="cs"/>
          <w:szCs w:val="26"/>
          <w:rtl/>
        </w:rPr>
        <w:t>(ג)</w:t>
      </w:r>
      <w:r>
        <w:rPr>
          <w:rFonts w:cs="FrankRuehl" w:hint="cs"/>
          <w:szCs w:val="26"/>
          <w:rtl/>
        </w:rPr>
        <w:tab/>
        <w:t>גילוי או מתן אפשרות לגלות את קיומו או זהותו של מקור מידע חסוי;</w:t>
      </w:r>
    </w:p>
    <w:p w14:paraId="4EE3AE39"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(9)</w:t>
      </w:r>
      <w:r>
        <w:rPr>
          <w:rFonts w:cs="FrankRuehl" w:hint="cs"/>
          <w:szCs w:val="26"/>
          <w:rtl/>
        </w:rPr>
        <w:tab/>
        <w:t>מידע הנוגע לעניני משמעת של עובד של רשות ציבורית, למעט מידע בדבר ההליכים הפומביים על פי החוק; לענין פסקה זו, "עובד" – לרבות חייל, שוטר, סוהר ונושא משרה ברשות הציבורית;</w:t>
      </w:r>
    </w:p>
    <w:p w14:paraId="0F9F9036"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(10)</w:t>
      </w:r>
      <w:r>
        <w:rPr>
          <w:rFonts w:cs="FrankRuehl" w:hint="cs"/>
          <w:szCs w:val="26"/>
          <w:rtl/>
        </w:rPr>
        <w:tab/>
        <w:t>מידע שיש בגילויו פגיעה בצנעת הפרט של אדם שנפטר.</w:t>
      </w:r>
    </w:p>
    <w:p w14:paraId="776C1060"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(11)</w:t>
      </w:r>
      <w:r>
        <w:rPr>
          <w:rFonts w:cs="FrankRuehl" w:hint="cs"/>
          <w:szCs w:val="26"/>
          <w:rtl/>
        </w:rPr>
        <w:tab/>
        <w:t>לעניין רשות ציבורית כאמור בפסקה (9ב) להגדרה "רשות ציבורית" – מידע שיש בגילויו פגיעה מהותית בחופש הפעולה בעניינים האקדמיים והמינהליים של מוסד להשכלה גבוהה כמשמעותם בסעיף 15 לחוק המועצה להשכלה גבוהה, פגיעה בהליכי קידום ושיפוט אקדמיים או במחקרים שטרם פורסמו, או גילוי זהותם של תורמים שהביעו את דעתם שאינם מעוניינים בגילוי.</w:t>
      </w:r>
    </w:p>
    <w:p w14:paraId="07BD2BE3"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לענין סעיף זה, אין נפקא מינה אם העילה לאי-גילוי המידע היא בשל המידע המבוקש לבדו או בשל הצטברותו למידע אחר.</w:t>
      </w:r>
    </w:p>
    <w:p w14:paraId="7F49646D" w14:textId="6DCC442A"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10" w:name="h11"/>
      <w:bookmarkEnd w:id="10"/>
      <w:r>
        <w:rPr>
          <w:noProof/>
        </w:rPr>
        <mc:AlternateContent>
          <mc:Choice Requires="wps">
            <w:drawing>
              <wp:anchor distT="0" distB="0" distL="114300" distR="114300" simplePos="0" relativeHeight="251657216" behindDoc="0" locked="0" layoutInCell="0" allowOverlap="0" wp14:anchorId="28425125" wp14:editId="553BAF98">
                <wp:simplePos x="0" y="0"/>
                <wp:positionH relativeFrom="column">
                  <wp:posOffset>5524500</wp:posOffset>
                </wp:positionH>
                <wp:positionV relativeFrom="paragraph">
                  <wp:posOffset>38100</wp:posOffset>
                </wp:positionV>
                <wp:extent cx="1016000" cy="297180"/>
                <wp:effectExtent l="0" t="0" r="3175" b="635"/>
                <wp:wrapNone/>
                <wp:docPr id="4249527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73FD" w14:textId="77777777" w:rsidR="00815FD0" w:rsidRDefault="00000000">
                            <w:pPr>
                              <w:spacing w:after="0" w:line="250" w:lineRule="auto"/>
                            </w:pPr>
                            <w:r>
                              <w:rPr>
                                <w:rFonts w:cs="Miriam" w:hint="cs"/>
                                <w:szCs w:val="22"/>
                                <w:rtl/>
                              </w:rPr>
                              <w:t>שיקולי הרשות הציבורית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8425125" id="Rectangle 13" o:spid="_x0000_s1036" style="position:absolute;left:0;text-align:left;margin-left:435pt;margin-top:3pt;width:80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" o:allowincell="f" o:allowoverlap="f" filled="f" stroked="f">
                <v:textbox style="mso-fit-shape-to-text:t" inset="0,0,0,0">
                  <w:txbxContent>
                    <w:p w14:paraId="784F73FD" w14:textId="77777777" w:rsidR="00815FD0" w:rsidRDefault="00000000">
                      <w:pPr>
                        <w:spacing w:after="0" w:line="250" w:lineRule="auto"/>
                      </w:pPr>
                      <w:r>
                        <w:rPr>
                          <w:rFonts w:cs="Miriam" w:hint="cs"/>
                          <w:szCs w:val="22"/>
                          <w:rtl/>
                        </w:rPr>
                        <w:t>שיקולי הרשות הציבורית</w:t>
                      </w:r>
                    </w:p>
                  </w:txbxContent>
                </v:textbox>
              </v:rect>
            </w:pict>
          </mc:Fallback>
        </mc:AlternateContent>
      </w:r>
      <w:r w:rsidR="00000000">
        <w:rPr>
          <w:rFonts w:cs="FrankRuehl" w:hint="cs"/>
          <w:szCs w:val="34"/>
          <w:rtl/>
        </w:rPr>
        <w:t>10.</w:t>
      </w:r>
      <w:r w:rsidR="00000000">
        <w:rPr>
          <w:rFonts w:cs="FrankRuehl" w:hint="cs"/>
          <w:szCs w:val="26"/>
          <w:rtl/>
        </w:rPr>
        <w:tab/>
        <w:t>בבואה לשקול סירוב למסור מידע לפי חוק זה, מכוח הוראות סעיפים 8 ו-9, תיתן הרשות הציבורית דעתה, בין היתר, לענינו של המבקש במידע, אם ציין זאת בבקשתו, וכן לענין הציבורי שבגילוי המידע מטעמים של שמירה על בריאות הציבור או בטיחותו, או שמירה על איכות הסביבה.</w:t>
      </w:r>
    </w:p>
    <w:p w14:paraId="3D9E95F2" w14:textId="625A996F"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11" w:name="h12"/>
      <w:bookmarkEnd w:id="11"/>
      <w:r>
        <w:rPr>
          <w:noProof/>
        </w:rPr>
        <mc:AlternateContent>
          <mc:Choice Requires="wps">
            <w:drawing>
              <wp:anchor distT="0" distB="0" distL="114300" distR="114300" simplePos="0" relativeHeight="251658240" behindDoc="0" locked="0" layoutInCell="0" allowOverlap="0" wp14:anchorId="132FB210" wp14:editId="01137420">
                <wp:simplePos x="0" y="0"/>
                <wp:positionH relativeFrom="column">
                  <wp:posOffset>5524500</wp:posOffset>
                </wp:positionH>
                <wp:positionV relativeFrom="paragraph">
                  <wp:posOffset>38100</wp:posOffset>
                </wp:positionV>
                <wp:extent cx="1016000" cy="445135"/>
                <wp:effectExtent l="0" t="0" r="3175" b="3810"/>
                <wp:wrapNone/>
                <wp:docPr id="43364279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C7514" w14:textId="77777777" w:rsidR="00815FD0" w:rsidRDefault="00000000">
                            <w:pPr>
                              <w:spacing w:after="0" w:line="250" w:lineRule="auto"/>
                            </w:pPr>
                            <w:r>
                              <w:rPr>
                                <w:rFonts w:cs="Miriam" w:hint="cs"/>
                                <w:szCs w:val="22"/>
                                <w:rtl/>
                              </w:rPr>
                              <w:t>מסירת מידע חלקי ומסירת מידע בתנאים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2FB210" id="Rectangle 12" o:spid="_x0000_s1037" style="position:absolute;left:0;text-align:left;margin-left:435pt;margin-top:3pt;width:80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" o:allowincell="f" o:allowoverlap="f" filled="f" stroked="f">
                <v:textbox style="mso-fit-shape-to-text:t" inset="0,0,0,0">
                  <w:txbxContent>
                    <w:p w14:paraId="73FC7514" w14:textId="77777777" w:rsidR="00815FD0" w:rsidRDefault="00000000">
                      <w:pPr>
                        <w:spacing w:after="0" w:line="250" w:lineRule="auto"/>
                      </w:pPr>
                      <w:r>
                        <w:rPr>
                          <w:rFonts w:cs="Miriam" w:hint="cs"/>
                          <w:szCs w:val="22"/>
                          <w:rtl/>
                        </w:rPr>
                        <w:t>מסירת מידע חלקי ומסירת מידע בתנאים</w:t>
                      </w:r>
                    </w:p>
                  </w:txbxContent>
                </v:textbox>
              </v:rect>
            </w:pict>
          </mc:Fallback>
        </mc:AlternateContent>
      </w:r>
      <w:r w:rsidR="00000000">
        <w:rPr>
          <w:rFonts w:cs="FrankRuehl" w:hint="cs"/>
          <w:szCs w:val="34"/>
          <w:rtl/>
        </w:rPr>
        <w:t>11.</w:t>
      </w:r>
      <w:r w:rsidR="00000000">
        <w:rPr>
          <w:rFonts w:cs="FrankRuehl" w:hint="cs"/>
          <w:szCs w:val="26"/>
          <w:rtl/>
        </w:rPr>
        <w:tab/>
        <w:t xml:space="preserve">היה המידע המבוקש מידע אשר הרשות הציבורית רשאית או חייבת שלא למסרו כאמור בסעיף 9, וניתן לגלות את המידע, ללא הקצאת משאבים בלתי סבירה או הכבדה ניכרת על פעולתה של הרשות, תוך השמטת פרטים, תוך עריכת שינויים או תוך התניית תנאים בדבר דרך קבלת המידע </w:t>
      </w:r>
      <w:r w:rsidR="00000000">
        <w:rPr>
          <w:rFonts w:cs="FrankRuehl" w:hint="cs"/>
          <w:szCs w:val="26"/>
          <w:rtl/>
        </w:rPr>
        <w:lastRenderedPageBreak/>
        <w:t>והשימוש בו, תמסור הרשות את המידע בהשמטות, בשינויים או בתנאים המחויבים, לפי הענין; נעשו השמטות או שינויים כאמור, תציין זאת הרשות, אלא אם כן אין לגלות עובדה זו, מהטעמים המפורטים בסעיף 9(א)(1).</w:t>
      </w:r>
    </w:p>
    <w:p w14:paraId="07EB3192" w14:textId="17CDB28E"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12" w:name="h13"/>
      <w:bookmarkEnd w:id="12"/>
      <w:r>
        <w:rPr>
          <w:noProof/>
        </w:rPr>
        <mc:AlternateContent>
          <mc:Choice Requires="wps">
            <w:drawing>
              <wp:anchor distT="0" distB="0" distL="114300" distR="114300" simplePos="0" relativeHeight="251659264" behindDoc="0" locked="0" layoutInCell="0" allowOverlap="0" wp14:anchorId="27CEDD71" wp14:editId="1FBFAFF3">
                <wp:simplePos x="0" y="0"/>
                <wp:positionH relativeFrom="column">
                  <wp:posOffset>5524500</wp:posOffset>
                </wp:positionH>
                <wp:positionV relativeFrom="paragraph">
                  <wp:posOffset>38100</wp:posOffset>
                </wp:positionV>
                <wp:extent cx="1016000" cy="445135"/>
                <wp:effectExtent l="0" t="1905" r="3175" b="635"/>
                <wp:wrapNone/>
                <wp:docPr id="184738355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EFA7B" w14:textId="77777777" w:rsidR="00815FD0" w:rsidRDefault="00000000">
                            <w:pPr>
                              <w:spacing w:after="0" w:line="250" w:lineRule="auto"/>
                            </w:pPr>
                            <w:r>
                              <w:rPr>
                                <w:rFonts w:cs="Miriam" w:hint="cs"/>
                                <w:szCs w:val="22"/>
                                <w:rtl/>
                              </w:rPr>
                              <w:t>תחולה לגבי אדם שאינו אזרח או תושב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7CEDD71" id="Rectangle 11" o:spid="_x0000_s1038" style="position:absolute;left:0;text-align:left;margin-left:435pt;margin-top:3pt;width:80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" o:allowincell="f" o:allowoverlap="f" filled="f" stroked="f">
                <v:textbox style="mso-fit-shape-to-text:t" inset="0,0,0,0">
                  <w:txbxContent>
                    <w:p w14:paraId="0D3EFA7B" w14:textId="77777777" w:rsidR="00815FD0" w:rsidRDefault="00000000">
                      <w:pPr>
                        <w:spacing w:after="0" w:line="250" w:lineRule="auto"/>
                      </w:pPr>
                      <w:r>
                        <w:rPr>
                          <w:rFonts w:cs="Miriam" w:hint="cs"/>
                          <w:szCs w:val="22"/>
                          <w:rtl/>
                        </w:rPr>
                        <w:t>תחולה לגבי אדם שאינו אזרח או תושב</w:t>
                      </w:r>
                    </w:p>
                  </w:txbxContent>
                </v:textbox>
              </v:rect>
            </w:pict>
          </mc:Fallback>
        </mc:AlternateContent>
      </w:r>
      <w:r w:rsidR="00000000">
        <w:rPr>
          <w:rFonts w:cs="FrankRuehl" w:hint="cs"/>
          <w:szCs w:val="34"/>
          <w:rtl/>
        </w:rPr>
        <w:t>12.</w:t>
      </w:r>
      <w:r w:rsidR="00000000">
        <w:rPr>
          <w:rFonts w:cs="FrankRuehl" w:hint="cs"/>
          <w:szCs w:val="26"/>
          <w:rtl/>
        </w:rPr>
        <w:tab/>
        <w:t>הוראות חוק זה יחולו גם על מבקש מידע שאינו אזרח ישראלי או תושב, לגבי מידע בדבר זכויותיו בישראל.</w:t>
      </w:r>
    </w:p>
    <w:p w14:paraId="64D95A8B" w14:textId="6C9CA345"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13" w:name="h14"/>
      <w:bookmarkEnd w:id="13"/>
      <w:r>
        <w:rPr>
          <w:noProof/>
        </w:rPr>
        <mc:AlternateContent>
          <mc:Choice Requires="wps">
            <w:drawing>
              <wp:anchor distT="0" distB="0" distL="114300" distR="114300" simplePos="0" relativeHeight="251660288" behindDoc="0" locked="0" layoutInCell="0" allowOverlap="0" wp14:anchorId="4611F26B" wp14:editId="21E86CA4">
                <wp:simplePos x="0" y="0"/>
                <wp:positionH relativeFrom="column">
                  <wp:posOffset>5524500</wp:posOffset>
                </wp:positionH>
                <wp:positionV relativeFrom="paragraph">
                  <wp:posOffset>38100</wp:posOffset>
                </wp:positionV>
                <wp:extent cx="1016000" cy="297180"/>
                <wp:effectExtent l="0" t="0" r="3175" b="0"/>
                <wp:wrapNone/>
                <wp:docPr id="15123465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AAD40" w14:textId="77777777" w:rsidR="00815FD0" w:rsidRDefault="00000000">
                            <w:pPr>
                              <w:spacing w:after="0" w:line="250" w:lineRule="auto"/>
                            </w:pPr>
                            <w:r>
                              <w:rPr>
                                <w:rFonts w:cs="Miriam" w:hint="cs"/>
                                <w:szCs w:val="22"/>
                                <w:rtl/>
                              </w:rPr>
                              <w:t>הגנה על צד שלישי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11F26B" id="Rectangle 10" o:spid="_x0000_s1039" style="position:absolute;left:0;text-align:left;margin-left:435pt;margin-top:3pt;width:80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" o:allowincell="f" o:allowoverlap="f" filled="f" stroked="f">
                <v:textbox style="mso-fit-shape-to-text:t" inset="0,0,0,0">
                  <w:txbxContent>
                    <w:p w14:paraId="009AAD40" w14:textId="77777777" w:rsidR="00815FD0" w:rsidRDefault="00000000">
                      <w:pPr>
                        <w:spacing w:after="0" w:line="250" w:lineRule="auto"/>
                      </w:pPr>
                      <w:r>
                        <w:rPr>
                          <w:rFonts w:cs="Miriam" w:hint="cs"/>
                          <w:szCs w:val="22"/>
                          <w:rtl/>
                        </w:rPr>
                        <w:t>הגנה על צד שלישי</w:t>
                      </w:r>
                    </w:p>
                  </w:txbxContent>
                </v:textbox>
              </v:rect>
            </w:pict>
          </mc:Fallback>
        </mc:AlternateContent>
      </w:r>
      <w:r w:rsidR="00000000">
        <w:rPr>
          <w:rFonts w:cs="FrankRuehl" w:hint="cs"/>
          <w:szCs w:val="34"/>
          <w:rtl/>
        </w:rPr>
        <w:t>13.</w:t>
      </w:r>
      <w:r w:rsidR="00000000">
        <w:rPr>
          <w:rFonts w:cs="FrankRuehl" w:hint="cs"/>
          <w:szCs w:val="34"/>
          <w:rtl/>
        </w:rPr>
        <w:tab/>
      </w:r>
      <w:r w:rsidR="00000000">
        <w:rPr>
          <w:rFonts w:cs="FrankRuehl" w:hint="cs"/>
          <w:szCs w:val="26"/>
          <w:rtl/>
        </w:rPr>
        <w:t>(א)</w:t>
      </w:r>
      <w:r w:rsidR="00000000">
        <w:rPr>
          <w:rFonts w:cs="FrankRuehl" w:hint="cs"/>
          <w:szCs w:val="26"/>
          <w:rtl/>
        </w:rPr>
        <w:tab/>
        <w:t>נתבקש מידע הכולל פרטים על אודות צד שלישי, אשר מסירתם עלולה לפגוע בצד השלישי, והרשות הציבורית שוקלת לאפשר למבקש המידע לקבל את המידע, תודיע הרשות לצד השלישי, בכתב, על דבר הגשת הבקשה ועל זכותו להתנגד למסירת המידע ותודיע על כך למבקש; קיבל אדם הודעה כאמור, רשאי הוא להודיע לרשות, בתוך 21 ימים, כי הוא מתנגד לבקשה, בנימוק שאין למסור את המידע, כולו או מקצתו, מכוח הוראות סעיף 9 או הוראות כל דין; 21 הימים האמורים, לא יבואו במנין המועדים המנויים בסעיף 7.</w:t>
      </w:r>
    </w:p>
    <w:p w14:paraId="017382A8"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החליטה הרשות הציבורית לדחות את התנגדותו של הצד השלישי, תמציא לו, בכתב, את החלטתה המנומקת, ותודיע לו על זכותו לעתור נגד החלטתה על פי חוק זה.</w:t>
      </w:r>
    </w:p>
    <w:p w14:paraId="476819AF"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על אף האמור בסעיף 7(ב) לא תאפשר הרשות הציבורית את קבלת המידע המבוקש, בטרם חלפה התקופה להגשת העתירה או בטרם הוחלט לדחותה, לפי הענין, אלא אם כן הודיע הצד השלישי שהתנגד, בכתב, כי הוא מוותר על זכותו להגישה.</w:t>
      </w:r>
    </w:p>
    <w:p w14:paraId="7FAE2052" w14:textId="1D5A26F7"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14" w:name="h15"/>
      <w:bookmarkEnd w:id="14"/>
      <w:r>
        <w:rPr>
          <w:noProof/>
        </w:rPr>
        <mc:AlternateContent>
          <mc:Choice Requires="wps">
            <w:drawing>
              <wp:anchor distT="0" distB="0" distL="114300" distR="114300" simplePos="0" relativeHeight="251661312" behindDoc="0" locked="0" layoutInCell="0" allowOverlap="0" wp14:anchorId="398DDFD1" wp14:editId="67C8CC80">
                <wp:simplePos x="0" y="0"/>
                <wp:positionH relativeFrom="column">
                  <wp:posOffset>5524500</wp:posOffset>
                </wp:positionH>
                <wp:positionV relativeFrom="paragraph">
                  <wp:posOffset>38100</wp:posOffset>
                </wp:positionV>
                <wp:extent cx="1016000" cy="297180"/>
                <wp:effectExtent l="0" t="3810" r="3175" b="3810"/>
                <wp:wrapNone/>
                <wp:docPr id="180238519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84D49" w14:textId="77777777" w:rsidR="00815FD0" w:rsidRDefault="00000000">
                            <w:pPr>
                              <w:spacing w:after="0" w:line="250" w:lineRule="auto"/>
                            </w:pPr>
                            <w:r>
                              <w:rPr>
                                <w:rFonts w:cs="Miriam" w:hint="cs"/>
                                <w:szCs w:val="22"/>
                                <w:rtl/>
                              </w:rPr>
                              <w:t>סייגים לתחולת החוק</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98DDFD1" id="Rectangle 9" o:spid="_x0000_s1040" style="position:absolute;left:0;text-align:left;margin-left:435pt;margin-top:3pt;width:80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" o:allowincell="f" o:allowoverlap="f" filled="f" stroked="f">
                <v:textbox style="mso-fit-shape-to-text:t" inset="0,0,0,0">
                  <w:txbxContent>
                    <w:p w14:paraId="7EF84D49" w14:textId="77777777" w:rsidR="00815FD0" w:rsidRDefault="00000000">
                      <w:pPr>
                        <w:spacing w:after="0" w:line="250" w:lineRule="auto"/>
                      </w:pPr>
                      <w:r>
                        <w:rPr>
                          <w:rFonts w:cs="Miriam" w:hint="cs"/>
                          <w:szCs w:val="22"/>
                          <w:rtl/>
                        </w:rPr>
                        <w:t>סייגים לתחולת החוק</w:t>
                      </w:r>
                    </w:p>
                  </w:txbxContent>
                </v:textbox>
              </v:rect>
            </w:pict>
          </mc:Fallback>
        </mc:AlternateContent>
      </w:r>
      <w:r w:rsidR="00000000">
        <w:rPr>
          <w:rFonts w:cs="FrankRuehl" w:hint="cs"/>
          <w:szCs w:val="34"/>
          <w:rtl/>
        </w:rPr>
        <w:t>14.</w:t>
      </w:r>
      <w:r w:rsidR="00000000">
        <w:rPr>
          <w:rFonts w:cs="FrankRuehl" w:hint="cs"/>
          <w:szCs w:val="34"/>
          <w:rtl/>
        </w:rPr>
        <w:tab/>
      </w:r>
      <w:r w:rsidR="00000000">
        <w:rPr>
          <w:rFonts w:cs="FrankRuehl" w:hint="cs"/>
          <w:szCs w:val="26"/>
          <w:rtl/>
        </w:rPr>
        <w:t>(א)</w:t>
      </w:r>
      <w:r w:rsidR="00000000">
        <w:rPr>
          <w:rFonts w:cs="FrankRuehl" w:hint="cs"/>
          <w:szCs w:val="26"/>
          <w:rtl/>
        </w:rPr>
        <w:tab/>
        <w:t>הוראות חוק זה לא יחולו על הגופים שלהלן, ועל מידע שנוצר, שנאסף או שמוחזק בידיהם –</w:t>
      </w:r>
    </w:p>
    <w:p w14:paraId="561AD59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w:t>
      </w:r>
      <w:r>
        <w:rPr>
          <w:rFonts w:cs="FrankRuehl" w:hint="cs"/>
          <w:szCs w:val="26"/>
          <w:rtl/>
        </w:rPr>
        <w:tab/>
        <w:t>מערך המודיעין של צבא-הגנה לישראל, ויחידות צבאיות נוספות אשר שר הבטחון, באישור הועדה המשותפת, קבע אותן בצו, מטעמים של בטחון המדינה;</w:t>
      </w:r>
    </w:p>
    <w:p w14:paraId="5E81AA32"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(2)</w:t>
      </w:r>
      <w:r>
        <w:rPr>
          <w:rFonts w:cs="FrankRuehl" w:hint="cs"/>
          <w:szCs w:val="26"/>
          <w:rtl/>
        </w:rPr>
        <w:tab/>
        <w:t>שירות הבטחון הכללי וכן יחידות הבטחון ברשויות ציבוריות, בענינים המונחים על ידי שירות הבטחון הכללי או מטעמו; </w:t>
      </w:r>
    </w:p>
    <w:p w14:paraId="2F6B28EA"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(3)</w:t>
      </w:r>
      <w:r>
        <w:rPr>
          <w:rFonts w:cs="FrankRuehl" w:hint="cs"/>
          <w:szCs w:val="26"/>
          <w:rtl/>
        </w:rPr>
        <w:tab/>
        <w:t>המוסד למודיעין ולתפקידים מיוחדים;</w:t>
      </w:r>
    </w:p>
    <w:p w14:paraId="3D0D704D"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(4)</w:t>
      </w:r>
      <w:r>
        <w:rPr>
          <w:rFonts w:cs="FrankRuehl" w:hint="cs"/>
          <w:szCs w:val="26"/>
          <w:rtl/>
        </w:rPr>
        <w:tab/>
        <w:t>יחידת הממונה על הבטחון במערכת הבטחון;</w:t>
      </w:r>
    </w:p>
    <w:p w14:paraId="479A04E7"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(5)</w:t>
      </w:r>
      <w:r>
        <w:rPr>
          <w:rFonts w:cs="FrankRuehl" w:hint="cs"/>
          <w:szCs w:val="26"/>
          <w:rtl/>
        </w:rPr>
        <w:tab/>
        <w:t>יחידות במשרד ראש הממשלה ובמשרד הבטחון שעיקר פעילותן בטחון המדינה או יחסי חוץ, שראש הממשלה או שר הבטחון, באישור הועדה המשותפת, קבע אותן בצו;</w:t>
      </w:r>
    </w:p>
    <w:p w14:paraId="7ABADDF8"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(6)</w:t>
      </w:r>
      <w:r>
        <w:rPr>
          <w:rFonts w:cs="FrankRuehl" w:hint="cs"/>
          <w:szCs w:val="26"/>
          <w:rtl/>
        </w:rPr>
        <w:tab/>
        <w:t>הועדה לאנרגיה אטומית ומרכזי המחקר הגרעיני שבאחריותה;</w:t>
      </w:r>
    </w:p>
    <w:p w14:paraId="6DE25AF1"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(7)</w:t>
      </w:r>
      <w:r>
        <w:rPr>
          <w:rFonts w:cs="FrankRuehl" w:hint="cs"/>
          <w:szCs w:val="26"/>
          <w:rtl/>
        </w:rPr>
        <w:tab/>
        <w:t>המרכז למחקר מדיני, החטיבה לפירוק נשק והחטיבה לתכנון מדיני במשרד החוץ, ויחידות נוספות של משרד החוץ, אשר שר החוץ, באישור הועדה המשותפת, קבע אותן בצו, מטעמים של בטחון המדינה או יחסי החוץ שלה;</w:t>
      </w:r>
    </w:p>
    <w:p w14:paraId="1FC7C677"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(8)</w:t>
      </w:r>
      <w:r>
        <w:rPr>
          <w:rFonts w:cs="FrankRuehl" w:hint="cs"/>
          <w:szCs w:val="26"/>
          <w:rtl/>
        </w:rPr>
        <w:tab/>
        <w:t>כל גוף או רשות שיש להם סמכות חקירה על פי דין, לגבי מידע שנאסף או שנוצר לצורכי חקירה ולגבי מידע מודיעיני;</w:t>
      </w:r>
    </w:p>
    <w:p w14:paraId="4E1580E5"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(9)</w:t>
      </w:r>
      <w:r>
        <w:rPr>
          <w:rFonts w:cs="FrankRuehl" w:hint="cs"/>
          <w:szCs w:val="26"/>
          <w:rtl/>
        </w:rPr>
        <w:tab/>
        <w:t>מערכי המודיעין והחקירות של משטרת ישראל, וכן יחידות נוספות אשר השר לבטחון הפנים, באישור הועדה המשותפת, קבע אותן בצו;</w:t>
      </w:r>
    </w:p>
    <w:p w14:paraId="29FEBDD7"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(10)</w:t>
      </w:r>
      <w:r>
        <w:rPr>
          <w:rFonts w:cs="FrankRuehl" w:hint="cs"/>
          <w:szCs w:val="26"/>
          <w:rtl/>
        </w:rPr>
        <w:tab/>
        <w:t>שירות בתי הסוהר – לגבי מערך המודיעין ומערך האבטחה;</w:t>
      </w:r>
    </w:p>
    <w:p w14:paraId="2CC5A31E"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(11)</w:t>
      </w:r>
      <w:r>
        <w:rPr>
          <w:rFonts w:cs="FrankRuehl" w:hint="cs"/>
          <w:szCs w:val="26"/>
          <w:rtl/>
        </w:rPr>
        <w:tab/>
        <w:t>כל רשות מעין-שיפוטית, שתפקידה לדון במצבו הרפואי של אדם – לגבי הליכים בפניה.</w:t>
      </w:r>
    </w:p>
    <w:p w14:paraId="350F90B6"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(12)</w:t>
      </w:r>
      <w:r>
        <w:rPr>
          <w:rFonts w:cs="FrankRuehl" w:hint="cs"/>
          <w:szCs w:val="26"/>
          <w:rtl/>
        </w:rPr>
        <w:tab/>
        <w:t>נציבות תלונות הציבור על שופטים – לגבי בירור תלונה על שופט לפי חוק נציב תלונות הציבור על שופטים, התשס"ב-2002.</w:t>
      </w:r>
    </w:p>
    <w:p w14:paraId="312F75A7"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(13)</w:t>
      </w:r>
      <w:r>
        <w:rPr>
          <w:rFonts w:cs="FrankRuehl" w:hint="cs"/>
          <w:szCs w:val="26"/>
          <w:rtl/>
        </w:rPr>
        <w:tab/>
        <w:t>הרשות להגנה על עדים.</w:t>
      </w:r>
    </w:p>
    <w:p w14:paraId="04C151DA"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lastRenderedPageBreak/>
        <w:t>(14)</w:t>
      </w:r>
      <w:r>
        <w:rPr>
          <w:rFonts w:cs="FrankRuehl" w:hint="cs"/>
          <w:szCs w:val="26"/>
          <w:rtl/>
        </w:rPr>
        <w:tab/>
        <w:t>הרשות כהגדרתה בחוק הכללת אמצעי זיהוי ביומטריים ונתוני זיהוי ביומטריים במסמכי זיהוי ובמאגר מידע, התש"ע-2009.</w:t>
      </w:r>
    </w:p>
    <w:p w14:paraId="076DC4EE"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(15)</w:t>
      </w:r>
      <w:r>
        <w:rPr>
          <w:rFonts w:cs="FrankRuehl" w:hint="cs"/>
          <w:szCs w:val="26"/>
          <w:rtl/>
        </w:rPr>
        <w:tab/>
        <w:t>הוועדה המייעצת, לפי סעיף 14 לחוק המאבק בטרור, התשע"ו-2016.</w:t>
      </w:r>
    </w:p>
    <w:p w14:paraId="1928A2CC"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(16)</w:t>
      </w:r>
      <w:r>
        <w:rPr>
          <w:rFonts w:cs="FrankRuehl" w:hint="cs"/>
          <w:szCs w:val="26"/>
          <w:rtl/>
        </w:rPr>
        <w:tab/>
        <w:t>נציבות תלונות הציבור על מייצגי המדינה בערכאות – לגבי בירור תלונה לפי חוק נציבות תלונות הציבור על מייצגי המדינה בערכאות, התשע"ו-2016.</w:t>
      </w:r>
    </w:p>
    <w:p w14:paraId="46FA38C3" w14:textId="77777777" w:rsidR="00815FD0" w:rsidRDefault="00000000">
      <w:pPr>
        <w:tabs>
          <w:tab w:val="left" w:pos="720"/>
          <w:tab w:val="left" w:pos="1440"/>
          <w:tab w:val="left" w:pos="2160"/>
          <w:tab w:val="left" w:pos="2880"/>
          <w:tab w:val="left" w:pos="3600"/>
        </w:tabs>
        <w:spacing w:before="45" w:after="50" w:line="250" w:lineRule="auto"/>
        <w:ind w:left="2160" w:hanging="720"/>
        <w:jc w:val="both"/>
      </w:pPr>
      <w:r>
        <w:rPr>
          <w:rFonts w:cs="FrankRuehl" w:hint="cs"/>
          <w:szCs w:val="26"/>
          <w:rtl/>
        </w:rPr>
        <w:t>(17)</w:t>
      </w:r>
      <w:r>
        <w:rPr>
          <w:rFonts w:cs="FrankRuehl" w:hint="cs"/>
          <w:szCs w:val="26"/>
          <w:rtl/>
        </w:rPr>
        <w:tab/>
        <w:t>מערך הסייבר הלאומי כהגדרתו בחוק להסדרת הביטחון בגופים ציבוריים, התשנ"ח-1998, ויחידות הביטחון ברשויות ציבוריות, והכול בעניינים המונחים על ידי אותו מערך לפי החוק האמור.</w:t>
      </w:r>
    </w:p>
    <w:p w14:paraId="086063B7"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שר המשפטים רשאי, בצו, בהתייעצות עם השר הנוגע בדבר ובאישור ועדת החוקה חוק ומשפט של הכנסת או ועדת משנה שלה, להוסיף גוף או ענין לרשימת הגופים המנויים בסעיף קטן (א); תוקפו של צו כאמור יהיה לתקופה שתיקבע בו ושלא תעלה על שישה חודשים, זולת אם בוטל קודם לכן; נקבעה בצו תקופת תוקף הפחותה משישה חודשים רשאי שר המשפטים להאריך את תוקפו של הצו לתקופה נוספת, ובלבד שהתקופה הכוללת לא תעלה על שישה חודשים.</w:t>
      </w:r>
    </w:p>
    <w:p w14:paraId="74DE12E8"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שר המשפטים רשאי, באישור ועדת החוקה חוק ומשפט של הכנסת, לקבוע בצו כי חוק זה לא יחול על תאגיד כאמור בפסקאות (7) או (8) להגדרה "רשות ציבורית" שבסעיף 2, בשים לב למידת הפגיעה העלולה להיגרם לפעילותו הכלכלית או העסקית של התאגיד; צו כאמור יינתן, לגבי חברה עירונית, לאחר התייעצות עם שר הפנים, ולגבי תאגיד אחר, לאחר התייעצות עם השר הממונה על החוק שמכוחו הוקם התאגיד.</w:t>
      </w:r>
    </w:p>
    <w:p w14:paraId="06884DAA"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(ד)</w:t>
      </w:r>
      <w:r>
        <w:rPr>
          <w:rFonts w:cs="FrankRuehl" w:hint="cs"/>
          <w:szCs w:val="26"/>
          <w:rtl/>
        </w:rPr>
        <w:tab/>
        <w:t>הוראות חוק זה לא יחולו על מידע שהעבירה הרשות הציבורית לגנזך המדינה בהתאם לחוק הארכיונים, התשט"ו-1955.</w:t>
      </w:r>
    </w:p>
    <w:p w14:paraId="36181E24" w14:textId="6AC66D30"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15" w:name="h16"/>
      <w:bookmarkEnd w:id="15"/>
      <w:r>
        <w:rPr>
          <w:noProof/>
        </w:rPr>
        <mc:AlternateContent>
          <mc:Choice Requires="wps">
            <w:drawing>
              <wp:anchor distT="0" distB="0" distL="114300" distR="114300" simplePos="0" relativeHeight="251662336" behindDoc="0" locked="0" layoutInCell="0" allowOverlap="0" wp14:anchorId="12D032D0" wp14:editId="397C25E4">
                <wp:simplePos x="0" y="0"/>
                <wp:positionH relativeFrom="column">
                  <wp:posOffset>5524500</wp:posOffset>
                </wp:positionH>
                <wp:positionV relativeFrom="paragraph">
                  <wp:posOffset>38100</wp:posOffset>
                </wp:positionV>
                <wp:extent cx="1016000" cy="297180"/>
                <wp:effectExtent l="0" t="1905" r="3175" b="0"/>
                <wp:wrapNone/>
                <wp:docPr id="40356047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5D29C" w14:textId="77777777" w:rsidR="00815FD0" w:rsidRDefault="00000000">
                            <w:pPr>
                              <w:spacing w:after="0" w:line="250" w:lineRule="auto"/>
                            </w:pPr>
                            <w:r>
                              <w:rPr>
                                <w:rFonts w:cs="Miriam" w:hint="cs"/>
                                <w:szCs w:val="22"/>
                                <w:rtl/>
                              </w:rPr>
                              <w:t>דיוני הועדה המשותפת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2D032D0" id="Rectangle 8" o:spid="_x0000_s1041" style="position:absolute;left:0;text-align:left;margin-left:435pt;margin-top:3pt;width:80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" o:allowincell="f" o:allowoverlap="f" filled="f" stroked="f">
                <v:textbox style="mso-fit-shape-to-text:t" inset="0,0,0,0">
                  <w:txbxContent>
                    <w:p w14:paraId="7245D29C" w14:textId="77777777" w:rsidR="00815FD0" w:rsidRDefault="00000000">
                      <w:pPr>
                        <w:spacing w:after="0" w:line="250" w:lineRule="auto"/>
                      </w:pPr>
                      <w:r>
                        <w:rPr>
                          <w:rFonts w:cs="Miriam" w:hint="cs"/>
                          <w:szCs w:val="22"/>
                          <w:rtl/>
                        </w:rPr>
                        <w:t>דיוני הועדה המשותפת</w:t>
                      </w:r>
                    </w:p>
                  </w:txbxContent>
                </v:textbox>
              </v:rect>
            </w:pict>
          </mc:Fallback>
        </mc:AlternateContent>
      </w:r>
      <w:r w:rsidR="00000000">
        <w:rPr>
          <w:rFonts w:cs="FrankRuehl" w:hint="cs"/>
          <w:szCs w:val="34"/>
          <w:rtl/>
        </w:rPr>
        <w:t>15.</w:t>
      </w:r>
      <w:r w:rsidR="00000000">
        <w:rPr>
          <w:rFonts w:cs="FrankRuehl" w:hint="cs"/>
          <w:szCs w:val="34"/>
          <w:rtl/>
        </w:rPr>
        <w:tab/>
      </w:r>
      <w:r w:rsidR="00000000">
        <w:rPr>
          <w:rFonts w:cs="FrankRuehl" w:hint="cs"/>
          <w:szCs w:val="26"/>
          <w:rtl/>
        </w:rPr>
        <w:t>(א)</w:t>
      </w:r>
      <w:r w:rsidR="00000000">
        <w:rPr>
          <w:rFonts w:cs="FrankRuehl" w:hint="cs"/>
          <w:szCs w:val="26"/>
          <w:rtl/>
        </w:rPr>
        <w:tab/>
        <w:t>ישיבות הועדה המשותפת יהיו חסויות, אם לא החליטה החלטה אחרת לענין זה. </w:t>
      </w:r>
    </w:p>
    <w:p w14:paraId="56492B6F"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הועדה המשותפת רשאית לקבוע כי צו אשר אושר על ידה לפי סעיפים 9 או 14, לא יפורסם ברשומות, כולו או חלקו.</w:t>
      </w:r>
    </w:p>
    <w:p w14:paraId="501431CA" w14:textId="0852AB9E"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16" w:name="h17"/>
      <w:bookmarkEnd w:id="16"/>
      <w:r>
        <w:rPr>
          <w:noProof/>
        </w:rPr>
        <mc:AlternateContent>
          <mc:Choice Requires="wps">
            <w:drawing>
              <wp:anchor distT="0" distB="0" distL="114300" distR="114300" simplePos="0" relativeHeight="251663360" behindDoc="0" locked="0" layoutInCell="0" allowOverlap="0" wp14:anchorId="583A1FE4" wp14:editId="1AC1652A">
                <wp:simplePos x="0" y="0"/>
                <wp:positionH relativeFrom="column">
                  <wp:posOffset>5524500</wp:posOffset>
                </wp:positionH>
                <wp:positionV relativeFrom="paragraph">
                  <wp:posOffset>38100</wp:posOffset>
                </wp:positionV>
                <wp:extent cx="1016000" cy="148590"/>
                <wp:effectExtent l="0" t="0" r="3175" b="0"/>
                <wp:wrapNone/>
                <wp:docPr id="19827859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4C7E9" w14:textId="77777777" w:rsidR="00815FD0" w:rsidRDefault="00000000">
                            <w:pPr>
                              <w:spacing w:after="0" w:line="250" w:lineRule="auto"/>
                            </w:pPr>
                            <w:r>
                              <w:rPr>
                                <w:rFonts w:cs="Miriam" w:hint="cs"/>
                                <w:szCs w:val="22"/>
                                <w:rtl/>
                              </w:rPr>
                              <w:t>תיקון מידע</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3A1FE4" id="Rectangle 7" o:spid="_x0000_s1042" style="position:absolute;left:0;text-align:left;margin-left:435pt;margin-top:3pt;width:80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" o:allowincell="f" o:allowoverlap="f" filled="f" stroked="f">
                <v:textbox style="mso-fit-shape-to-text:t" inset="0,0,0,0">
                  <w:txbxContent>
                    <w:p w14:paraId="5044C7E9" w14:textId="77777777" w:rsidR="00815FD0" w:rsidRDefault="00000000">
                      <w:pPr>
                        <w:spacing w:after="0" w:line="250" w:lineRule="auto"/>
                      </w:pPr>
                      <w:r>
                        <w:rPr>
                          <w:rFonts w:cs="Miriam" w:hint="cs"/>
                          <w:szCs w:val="22"/>
                          <w:rtl/>
                        </w:rPr>
                        <w:t>תיקון מידע</w:t>
                      </w:r>
                    </w:p>
                  </w:txbxContent>
                </v:textbox>
              </v:rect>
            </w:pict>
          </mc:Fallback>
        </mc:AlternateContent>
      </w:r>
      <w:r w:rsidR="00000000">
        <w:rPr>
          <w:rFonts w:cs="FrankRuehl" w:hint="cs"/>
          <w:szCs w:val="34"/>
          <w:rtl/>
        </w:rPr>
        <w:t>16.</w:t>
      </w:r>
      <w:r w:rsidR="00000000">
        <w:rPr>
          <w:rFonts w:cs="FrankRuehl" w:hint="cs"/>
          <w:szCs w:val="26"/>
          <w:rtl/>
        </w:rPr>
        <w:tab/>
        <w:t>קיבל אדם מידע על אודותיו לפי חוק זה ומצא כי המידע אינו נכון, שלם, ברור או מעודכן, רשאי הוא לפנות לרשות הציבורית בבקשה לתקנו, ויחולו, לענין זה, הוראות סעיפים 14 ו-15 לחוק הגנת הפרטיות, בשינויים המחויבים.</w:t>
      </w:r>
    </w:p>
    <w:p w14:paraId="31C704E0" w14:textId="7F4C9854"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17" w:name="h18"/>
      <w:bookmarkEnd w:id="17"/>
      <w:r>
        <w:rPr>
          <w:noProof/>
        </w:rPr>
        <mc:AlternateContent>
          <mc:Choice Requires="wps">
            <w:drawing>
              <wp:anchor distT="0" distB="0" distL="114300" distR="114300" simplePos="0" relativeHeight="251664384" behindDoc="0" locked="0" layoutInCell="0" allowOverlap="0" wp14:anchorId="48E64EDC" wp14:editId="4FD37C19">
                <wp:simplePos x="0" y="0"/>
                <wp:positionH relativeFrom="column">
                  <wp:posOffset>5524500</wp:posOffset>
                </wp:positionH>
                <wp:positionV relativeFrom="paragraph">
                  <wp:posOffset>38100</wp:posOffset>
                </wp:positionV>
                <wp:extent cx="1016000" cy="297180"/>
                <wp:effectExtent l="0" t="0" r="3175" b="1270"/>
                <wp:wrapNone/>
                <wp:docPr id="3631948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B15E" w14:textId="77777777" w:rsidR="00815FD0" w:rsidRDefault="00000000">
                            <w:pPr>
                              <w:spacing w:after="0" w:line="250" w:lineRule="auto"/>
                            </w:pPr>
                            <w:r>
                              <w:rPr>
                                <w:rFonts w:cs="Miriam" w:hint="cs"/>
                                <w:szCs w:val="22"/>
                                <w:rtl/>
                              </w:rPr>
                              <w:t>עתירה לבית המשפט</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8E64EDC" id="Rectangle 6" o:spid="_x0000_s1043" style="position:absolute;left:0;text-align:left;margin-left:435pt;margin-top:3pt;width:80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" o:allowincell="f" o:allowoverlap="f" filled="f" stroked="f">
                <v:textbox style="mso-fit-shape-to-text:t" inset="0,0,0,0">
                  <w:txbxContent>
                    <w:p w14:paraId="5BFDB15E" w14:textId="77777777" w:rsidR="00815FD0" w:rsidRDefault="00000000">
                      <w:pPr>
                        <w:spacing w:after="0" w:line="250" w:lineRule="auto"/>
                      </w:pPr>
                      <w:r>
                        <w:rPr>
                          <w:rFonts w:cs="Miriam" w:hint="cs"/>
                          <w:szCs w:val="22"/>
                          <w:rtl/>
                        </w:rPr>
                        <w:t>עתירה לבית המשפט</w:t>
                      </w:r>
                    </w:p>
                  </w:txbxContent>
                </v:textbox>
              </v:rect>
            </w:pict>
          </mc:Fallback>
        </mc:AlternateContent>
      </w:r>
      <w:r w:rsidR="00000000">
        <w:rPr>
          <w:rFonts w:cs="FrankRuehl" w:hint="cs"/>
          <w:szCs w:val="34"/>
          <w:rtl/>
        </w:rPr>
        <w:t>17.</w:t>
      </w:r>
      <w:r w:rsidR="00000000">
        <w:rPr>
          <w:rFonts w:cs="FrankRuehl" w:hint="cs"/>
          <w:szCs w:val="34"/>
          <w:rtl/>
        </w:rPr>
        <w:tab/>
      </w:r>
      <w:r w:rsidR="00000000">
        <w:rPr>
          <w:rFonts w:cs="FrankRuehl" w:hint="cs"/>
          <w:szCs w:val="26"/>
          <w:rtl/>
        </w:rPr>
        <w:t>(א)</w:t>
      </w:r>
      <w:r w:rsidR="00000000">
        <w:rPr>
          <w:rFonts w:cs="FrankRuehl" w:hint="cs"/>
          <w:szCs w:val="26"/>
          <w:rtl/>
        </w:rPr>
        <w:tab/>
        <w:t>עתירה על החלטת רשות ציבורית לפי חוק זה תידון בבית משפט לענינים מינהליים, אלא אם כן הוצאה לגבי המידע נושא העתירה תעודת חיסיון לפי סעיף 44 לפקודת הראיות [נוסח חדש], התשל"א-1971; הוצאה תעודת חיסיון כאמור, תידון העתירה לפני בית המשפט העליון.</w:t>
      </w:r>
    </w:p>
    <w:p w14:paraId="3B12CDD5"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בדונו בעתירה לפי חוק זה, למעט בעתירה על דחיית בקשה לפי סעיף 8, רשאי בית המשפט לקבל לידיו את כל המידע המבוקש ולעיין בו; בית המשפט רשאי, מהטעמים המנויים בסעיף 9, לשמוע טענות מפי בא-כוח הרשות הציבורית בדלתיים סגורות וללא נוכחות העותר או בא-כוחו.</w:t>
      </w:r>
    </w:p>
    <w:p w14:paraId="5B6F30A8"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לא יורה בית המשפט על מסירת מידע העלול לפגוע בזכויות צד שלישי, אלא לאחר שנתן לצד השלישי הזדמנות להשמיע טענותיו, בדרך שיקבע.</w:t>
      </w:r>
    </w:p>
    <w:p w14:paraId="53AA736C"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(ד)</w:t>
      </w:r>
      <w:r>
        <w:rPr>
          <w:rFonts w:cs="FrankRuehl" w:hint="cs"/>
          <w:szCs w:val="26"/>
          <w:rtl/>
        </w:rPr>
        <w:tab/>
        <w:t>על אף הוראות סעיף 9, רשאי בית המשפט להורות על מתן מידע מבוקש, כולו או חלקו ובתנאים שיקבע, אם לדעתו הענין הציבורי בגילוי המידע, עדיף וגובר על הטעם לדחיית הבקשה, ובלבד שגילוי המידע אינו אסור על פי דין.</w:t>
      </w:r>
    </w:p>
    <w:p w14:paraId="4D1AE0A2"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(ה)</w:t>
      </w:r>
      <w:r>
        <w:rPr>
          <w:rFonts w:cs="FrankRuehl" w:hint="cs"/>
          <w:szCs w:val="26"/>
          <w:rtl/>
        </w:rPr>
        <w:tab/>
        <w:t>החליט בית המשפט כאמור בסעיפים קטנים (ב) או (ד), ירשום את הטעמים להחלטתו.</w:t>
      </w:r>
    </w:p>
    <w:p w14:paraId="1B287DFF" w14:textId="5F0C0541"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18" w:name="h19"/>
      <w:bookmarkEnd w:id="18"/>
      <w:r>
        <w:rPr>
          <w:noProof/>
        </w:rPr>
        <mc:AlternateContent>
          <mc:Choice Requires="wps">
            <w:drawing>
              <wp:anchor distT="0" distB="0" distL="114300" distR="114300" simplePos="0" relativeHeight="251665408" behindDoc="0" locked="0" layoutInCell="0" allowOverlap="0" wp14:anchorId="466C3061" wp14:editId="048E3821">
                <wp:simplePos x="0" y="0"/>
                <wp:positionH relativeFrom="column">
                  <wp:posOffset>5524500</wp:posOffset>
                </wp:positionH>
                <wp:positionV relativeFrom="paragraph">
                  <wp:posOffset>38100</wp:posOffset>
                </wp:positionV>
                <wp:extent cx="1016000" cy="148590"/>
                <wp:effectExtent l="0" t="0" r="3175" b="0"/>
                <wp:wrapNone/>
                <wp:docPr id="6137213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FE808" w14:textId="77777777" w:rsidR="00815FD0" w:rsidRDefault="00000000">
                            <w:pPr>
                              <w:spacing w:after="0" w:line="250" w:lineRule="auto"/>
                            </w:pPr>
                            <w:r>
                              <w:rPr>
                                <w:rFonts w:cs="Miriam" w:hint="cs"/>
                                <w:szCs w:val="22"/>
                                <w:rtl/>
                              </w:rPr>
                              <w:t>אגרות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6C3061" id="Rectangle 5" o:spid="_x0000_s1044" style="position:absolute;left:0;text-align:left;margin-left:435pt;margin-top:3pt;width:80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" o:allowincell="f" o:allowoverlap="f" filled="f" stroked="f">
                <v:textbox style="mso-fit-shape-to-text:t" inset="0,0,0,0">
                  <w:txbxContent>
                    <w:p w14:paraId="0B0FE808" w14:textId="77777777" w:rsidR="00815FD0" w:rsidRDefault="00000000">
                      <w:pPr>
                        <w:spacing w:after="0" w:line="250" w:lineRule="auto"/>
                      </w:pPr>
                      <w:r>
                        <w:rPr>
                          <w:rFonts w:cs="Miriam" w:hint="cs"/>
                          <w:szCs w:val="22"/>
                          <w:rtl/>
                        </w:rPr>
                        <w:t>אגרות</w:t>
                      </w:r>
                    </w:p>
                  </w:txbxContent>
                </v:textbox>
              </v:rect>
            </w:pict>
          </mc:Fallback>
        </mc:AlternateContent>
      </w:r>
      <w:r w:rsidR="00000000">
        <w:rPr>
          <w:rFonts w:cs="FrankRuehl" w:hint="cs"/>
          <w:szCs w:val="34"/>
          <w:rtl/>
        </w:rPr>
        <w:t>18.</w:t>
      </w:r>
      <w:r w:rsidR="00000000">
        <w:rPr>
          <w:rFonts w:cs="FrankRuehl" w:hint="cs"/>
          <w:szCs w:val="34"/>
          <w:rtl/>
        </w:rPr>
        <w:tab/>
      </w:r>
      <w:r w:rsidR="00000000">
        <w:rPr>
          <w:rFonts w:cs="FrankRuehl" w:hint="cs"/>
          <w:szCs w:val="26"/>
          <w:rtl/>
        </w:rPr>
        <w:t>(א)</w:t>
      </w:r>
      <w:r w:rsidR="00000000">
        <w:rPr>
          <w:rFonts w:cs="FrankRuehl" w:hint="cs"/>
          <w:szCs w:val="26"/>
          <w:rtl/>
        </w:rPr>
        <w:tab/>
        <w:t>שר המשפטים, באישור ועדת החוקה חוק ומשפט של הכנסת, יתקין תקנות הקובעות אגרות בעד בקשה לקבלת מידע ובעד הפעולות הכרוכות באיתור המידע המבוקש ומסירתו לפי חוק זה; קביעת האגרות תיעשה תוך התחשבות בסוגים השונים של המידע ושל הפונים לקבלתו.</w:t>
      </w:r>
    </w:p>
    <w:p w14:paraId="7B765CA0"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lastRenderedPageBreak/>
        <w:t>(ב)</w:t>
      </w:r>
      <w:r>
        <w:rPr>
          <w:rFonts w:cs="FrankRuehl" w:hint="cs"/>
          <w:szCs w:val="26"/>
          <w:rtl/>
        </w:rPr>
        <w:tab/>
        <w:t>בתקנות בענין אגרות ייקבעו נסיבות שבהן יינתן פטור מאגרה.</w:t>
      </w:r>
    </w:p>
    <w:p w14:paraId="06CC60C9"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(ג)</w:t>
      </w:r>
      <w:r>
        <w:rPr>
          <w:rFonts w:cs="FrankRuehl" w:hint="cs"/>
          <w:szCs w:val="26"/>
          <w:rtl/>
        </w:rPr>
        <w:tab/>
        <w:t>לא תיקבע אגרה בעד בקשת מידע אשר יש להעמידו לרשות הציבור לפי סעיף 6, ואולם ניתן לקבוע אגרה או תשלום עבור העתקת המידע או הדפסתו ועבור משלוח המידע למבקש.</w:t>
      </w:r>
    </w:p>
    <w:p w14:paraId="69A9BFD5"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(ד)</w:t>
      </w:r>
      <w:r>
        <w:rPr>
          <w:rFonts w:cs="FrankRuehl" w:hint="cs"/>
          <w:szCs w:val="26"/>
          <w:rtl/>
        </w:rPr>
        <w:tab/>
        <w:t>לא תיקבע אגרה בעד בקשה של אדם לקבל מידע על אודות עצמו, ואולם ניתן לקבוע אגרה או תשלום עבור העתקת המידע או הדפסתו ועבור משלוח המידע למבקש, וכן עבור הפעולות הכרוכות באיתור המידע, אם בשל היקפו או מורכבותו של המידע המבוקש נדרש מאמץ מיוחד לצורך הטיפול בבקשה.</w:t>
      </w:r>
    </w:p>
    <w:p w14:paraId="30312CCA"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(ה)</w:t>
      </w:r>
      <w:r>
        <w:rPr>
          <w:rFonts w:cs="FrankRuehl" w:hint="cs"/>
          <w:szCs w:val="26"/>
          <w:rtl/>
        </w:rPr>
        <w:tab/>
        <w:t>על החלטת הממונה בדבר תשלום אגרה בענין בקשה מסוימת ניתן להגיש ערעור לבית משפט שלום, באופן שייקבע בתקנות. </w:t>
      </w:r>
    </w:p>
    <w:p w14:paraId="69901620"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(ו)</w:t>
      </w:r>
      <w:r>
        <w:rPr>
          <w:rFonts w:cs="FrankRuehl" w:hint="cs"/>
          <w:szCs w:val="26"/>
          <w:rtl/>
        </w:rPr>
        <w:tab/>
        <w:t>שר המשפטים רשאי לקבוע כי מועד הקבוע בחוק זה למסירת מידע יחל רק לאחר תשלום אגרה על ידי המבקש, וכי המידע יימסר למבקש רק לאחר תשלום אגרה.</w:t>
      </w:r>
    </w:p>
    <w:p w14:paraId="57ADB42C" w14:textId="284A8A31"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19" w:name="h20"/>
      <w:bookmarkEnd w:id="19"/>
      <w:r>
        <w:rPr>
          <w:noProof/>
        </w:rPr>
        <mc:AlternateContent>
          <mc:Choice Requires="wps">
            <w:drawing>
              <wp:anchor distT="0" distB="0" distL="114300" distR="114300" simplePos="0" relativeHeight="251666432" behindDoc="0" locked="0" layoutInCell="0" allowOverlap="0" wp14:anchorId="3F88C6A4" wp14:editId="3AA6B3BF">
                <wp:simplePos x="0" y="0"/>
                <wp:positionH relativeFrom="column">
                  <wp:posOffset>5524500</wp:posOffset>
                </wp:positionH>
                <wp:positionV relativeFrom="paragraph">
                  <wp:posOffset>38100</wp:posOffset>
                </wp:positionV>
                <wp:extent cx="1016000" cy="148590"/>
                <wp:effectExtent l="0" t="0" r="3175" b="3810"/>
                <wp:wrapNone/>
                <wp:docPr id="167682930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98605" w14:textId="77777777" w:rsidR="00815FD0" w:rsidRDefault="00000000">
                            <w:pPr>
                              <w:spacing w:after="0" w:line="250" w:lineRule="auto"/>
                            </w:pPr>
                            <w:r>
                              <w:rPr>
                                <w:rFonts w:cs="Miriam" w:hint="cs"/>
                                <w:szCs w:val="22"/>
                                <w:rtl/>
                              </w:rPr>
                              <w:t>ביצוע ותקנות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88C6A4" id="Rectangle 4" o:spid="_x0000_s1045" style="position:absolute;left:0;text-align:left;margin-left:435pt;margin-top:3pt;width:80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" o:allowincell="f" o:allowoverlap="f" filled="f" stroked="f">
                <v:textbox style="mso-fit-shape-to-text:t" inset="0,0,0,0">
                  <w:txbxContent>
                    <w:p w14:paraId="03C98605" w14:textId="77777777" w:rsidR="00815FD0" w:rsidRDefault="00000000">
                      <w:pPr>
                        <w:spacing w:after="0" w:line="250" w:lineRule="auto"/>
                      </w:pPr>
                      <w:r>
                        <w:rPr>
                          <w:rFonts w:cs="Miriam" w:hint="cs"/>
                          <w:szCs w:val="22"/>
                          <w:rtl/>
                        </w:rPr>
                        <w:t>ביצוע ותקנות</w:t>
                      </w:r>
                    </w:p>
                  </w:txbxContent>
                </v:textbox>
              </v:rect>
            </w:pict>
          </mc:Fallback>
        </mc:AlternateContent>
      </w:r>
      <w:r w:rsidR="00000000">
        <w:rPr>
          <w:rFonts w:cs="FrankRuehl" w:hint="cs"/>
          <w:szCs w:val="34"/>
          <w:rtl/>
        </w:rPr>
        <w:t>19.</w:t>
      </w:r>
      <w:r w:rsidR="00000000">
        <w:rPr>
          <w:rFonts w:cs="FrankRuehl" w:hint="cs"/>
          <w:szCs w:val="26"/>
          <w:rtl/>
        </w:rPr>
        <w:tab/>
        <w:t>שר המשפטים ממונה על ביצוע חוק זה, והוא רשאי, באישור ועדת החוקה חוק ומשפט של הכנסת, להתקין תקנות לביצועו.</w:t>
      </w:r>
    </w:p>
    <w:p w14:paraId="3DE5E110" w14:textId="209511D7" w:rsidR="00815FD0" w:rsidRDefault="00536A5E">
      <w:pPr>
        <w:tabs>
          <w:tab w:val="left" w:pos="720"/>
          <w:tab w:val="left" w:pos="1440"/>
          <w:tab w:val="left" w:pos="2160"/>
          <w:tab w:val="left" w:pos="2880"/>
          <w:tab w:val="left" w:pos="3600"/>
        </w:tabs>
        <w:spacing w:before="45" w:after="50" w:line="250" w:lineRule="auto"/>
        <w:ind w:left="720" w:hanging="720"/>
        <w:jc w:val="both"/>
      </w:pPr>
      <w:bookmarkStart w:id="20" w:name="h21"/>
      <w:bookmarkEnd w:id="20"/>
      <w:r>
        <w:rPr>
          <w:noProof/>
        </w:rPr>
        <mc:AlternateContent>
          <mc:Choice Requires="wps">
            <w:drawing>
              <wp:anchor distT="0" distB="0" distL="114300" distR="114300" simplePos="0" relativeHeight="251667456" behindDoc="0" locked="0" layoutInCell="0" allowOverlap="0" wp14:anchorId="7D394D67" wp14:editId="717E97DE">
                <wp:simplePos x="0" y="0"/>
                <wp:positionH relativeFrom="column">
                  <wp:posOffset>5524500</wp:posOffset>
                </wp:positionH>
                <wp:positionV relativeFrom="paragraph">
                  <wp:posOffset>38100</wp:posOffset>
                </wp:positionV>
                <wp:extent cx="1016000" cy="148590"/>
                <wp:effectExtent l="0" t="0" r="3175" b="3810"/>
                <wp:wrapNone/>
                <wp:docPr id="20833364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FC67" w14:textId="77777777" w:rsidR="00815FD0" w:rsidRDefault="00000000">
                            <w:pPr>
                              <w:spacing w:after="0" w:line="250" w:lineRule="auto"/>
                            </w:pPr>
                            <w:r>
                              <w:rPr>
                                <w:rFonts w:cs="Miriam" w:hint="cs"/>
                                <w:szCs w:val="22"/>
                                <w:rtl/>
                              </w:rPr>
                              <w:t>שמירת דינים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D394D67" id="Rectangle 3" o:spid="_x0000_s1046" style="position:absolute;left:0;text-align:left;margin-left:435pt;margin-top:3pt;width:80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" o:allowincell="f" o:allowoverlap="f" filled="f" stroked="f">
                <v:textbox style="mso-fit-shape-to-text:t" inset="0,0,0,0">
                  <w:txbxContent>
                    <w:p w14:paraId="2A8DFC67" w14:textId="77777777" w:rsidR="00815FD0" w:rsidRDefault="00000000">
                      <w:pPr>
                        <w:spacing w:after="0" w:line="250" w:lineRule="auto"/>
                      </w:pPr>
                      <w:r>
                        <w:rPr>
                          <w:rFonts w:cs="Miriam" w:hint="cs"/>
                          <w:szCs w:val="22"/>
                          <w:rtl/>
                        </w:rPr>
                        <w:t>שמירת דינים</w:t>
                      </w:r>
                    </w:p>
                  </w:txbxContent>
                </v:textbox>
              </v:rect>
            </w:pict>
          </mc:Fallback>
        </mc:AlternateContent>
      </w:r>
      <w:r w:rsidR="00000000">
        <w:rPr>
          <w:rFonts w:cs="FrankRuehl" w:hint="cs"/>
          <w:szCs w:val="34"/>
          <w:rtl/>
        </w:rPr>
        <w:t>20.</w:t>
      </w:r>
      <w:r w:rsidR="00000000">
        <w:rPr>
          <w:rFonts w:cs="FrankRuehl" w:hint="cs"/>
          <w:szCs w:val="26"/>
          <w:rtl/>
        </w:rPr>
        <w:tab/>
        <w:t>אין בהוראות חוק זה כדי לגרוע מתוקפו של חיקוק המחייב, המתיר, האוסר או המסדיר באופן אחר גילוי או מסירה של מידע שבידי רשות ציבורית.</w:t>
      </w:r>
    </w:p>
    <w:p w14:paraId="36F7FDED" w14:textId="4BC5C812" w:rsidR="00815FD0" w:rsidRDefault="00536A5E">
      <w:pPr>
        <w:tabs>
          <w:tab w:val="left" w:pos="720"/>
          <w:tab w:val="left" w:pos="1440"/>
          <w:tab w:val="left" w:pos="2160"/>
          <w:tab w:val="left" w:pos="2880"/>
          <w:tab w:val="left" w:pos="3600"/>
        </w:tabs>
        <w:spacing w:before="45" w:after="50" w:line="250" w:lineRule="auto"/>
        <w:ind w:left="1440" w:hanging="1440"/>
        <w:jc w:val="both"/>
      </w:pPr>
      <w:bookmarkStart w:id="21" w:name="h22"/>
      <w:bookmarkEnd w:id="21"/>
      <w:r>
        <w:rPr>
          <w:noProof/>
        </w:rPr>
        <mc:AlternateContent>
          <mc:Choice Requires="wps">
            <w:drawing>
              <wp:anchor distT="0" distB="0" distL="114300" distR="114300" simplePos="0" relativeHeight="251668480" behindDoc="0" locked="0" layoutInCell="0" allowOverlap="0" wp14:anchorId="1A5B61BB" wp14:editId="2388A244">
                <wp:simplePos x="0" y="0"/>
                <wp:positionH relativeFrom="column">
                  <wp:posOffset>5524500</wp:posOffset>
                </wp:positionH>
                <wp:positionV relativeFrom="paragraph">
                  <wp:posOffset>38100</wp:posOffset>
                </wp:positionV>
                <wp:extent cx="1016000" cy="148590"/>
                <wp:effectExtent l="0" t="0" r="3175" b="3810"/>
                <wp:wrapNone/>
                <wp:docPr id="236718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A1265" w14:textId="77777777" w:rsidR="00815FD0" w:rsidRDefault="00000000">
                            <w:pPr>
                              <w:spacing w:after="0" w:line="250" w:lineRule="auto"/>
                            </w:pPr>
                            <w:r>
                              <w:rPr>
                                <w:rFonts w:cs="Miriam" w:hint="cs"/>
                                <w:szCs w:val="22"/>
                                <w:rtl/>
                              </w:rPr>
                              <w:t>תחילה</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A5B61BB" id="Rectangle 2" o:spid="_x0000_s1047" style="position:absolute;left:0;text-align:left;margin-left:435pt;margin-top:3pt;width:80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" o:allowincell="f" o:allowoverlap="f" filled="f" stroked="f">
                <v:textbox style="mso-fit-shape-to-text:t" inset="0,0,0,0">
                  <w:txbxContent>
                    <w:p w14:paraId="628A1265" w14:textId="77777777" w:rsidR="00815FD0" w:rsidRDefault="00000000">
                      <w:pPr>
                        <w:spacing w:after="0" w:line="250" w:lineRule="auto"/>
                      </w:pPr>
                      <w:r>
                        <w:rPr>
                          <w:rFonts w:cs="Miriam" w:hint="cs"/>
                          <w:szCs w:val="22"/>
                          <w:rtl/>
                        </w:rPr>
                        <w:t>תחילה</w:t>
                      </w:r>
                    </w:p>
                  </w:txbxContent>
                </v:textbox>
              </v:rect>
            </w:pict>
          </mc:Fallback>
        </mc:AlternateContent>
      </w:r>
      <w:r w:rsidR="00000000">
        <w:rPr>
          <w:rFonts w:cs="FrankRuehl" w:hint="cs"/>
          <w:szCs w:val="34"/>
          <w:rtl/>
        </w:rPr>
        <w:t>21.</w:t>
      </w:r>
      <w:r w:rsidR="00000000">
        <w:rPr>
          <w:rFonts w:cs="FrankRuehl" w:hint="cs"/>
          <w:szCs w:val="34"/>
          <w:rtl/>
        </w:rPr>
        <w:tab/>
      </w:r>
      <w:r w:rsidR="00000000">
        <w:rPr>
          <w:rFonts w:cs="FrankRuehl" w:hint="cs"/>
          <w:szCs w:val="26"/>
          <w:rtl/>
        </w:rPr>
        <w:t>(א)</w:t>
      </w:r>
      <w:r w:rsidR="00000000">
        <w:rPr>
          <w:rFonts w:cs="FrankRuehl" w:hint="cs"/>
          <w:szCs w:val="26"/>
          <w:rtl/>
        </w:rPr>
        <w:tab/>
        <w:t>תחילתו של חוק זה שנה מיום פרסומו. </w:t>
      </w:r>
    </w:p>
    <w:p w14:paraId="62D54224" w14:textId="77777777" w:rsidR="00815FD0" w:rsidRDefault="00000000">
      <w:pPr>
        <w:tabs>
          <w:tab w:val="left" w:pos="720"/>
          <w:tab w:val="left" w:pos="1440"/>
          <w:tab w:val="left" w:pos="2160"/>
          <w:tab w:val="left" w:pos="2880"/>
          <w:tab w:val="left" w:pos="3600"/>
        </w:tabs>
        <w:spacing w:before="45" w:after="50" w:line="250" w:lineRule="auto"/>
        <w:ind w:left="1440" w:hanging="720"/>
        <w:jc w:val="both"/>
      </w:pPr>
      <w:r>
        <w:rPr>
          <w:rFonts w:cs="FrankRuehl" w:hint="cs"/>
          <w:szCs w:val="26"/>
          <w:rtl/>
        </w:rPr>
        <w:t>(ב)</w:t>
      </w:r>
      <w:r>
        <w:rPr>
          <w:rFonts w:cs="FrankRuehl" w:hint="cs"/>
          <w:szCs w:val="26"/>
          <w:rtl/>
        </w:rPr>
        <w:tab/>
        <w:t>על אף הוראת סעיף קטן (א), רשאית הממשלה, באישור ועדת החוקה חוק ומשפט של הכנסת לקבוע בצו, רשויות ציבוריות או סוגים של רשויות ציבוריות, שלגביהם יחל החוק במועדי תחילה אחרים, הכל כפי שתקבע, ובלבד שמועד תחילה שייקבע כאמור לא יהיה מאוחר מתום שלוש שנים ממועד התחילה לפי סעיף קטן (א).</w:t>
      </w:r>
    </w:p>
    <w:p w14:paraId="2A573F23" w14:textId="77777777" w:rsidR="00815FD0" w:rsidRDefault="00815FD0">
      <w:pPr>
        <w:tabs>
          <w:tab w:val="left" w:pos="720"/>
          <w:tab w:val="left" w:pos="1440"/>
          <w:tab w:val="left" w:pos="2160"/>
          <w:tab w:val="left" w:pos="2880"/>
          <w:tab w:val="left" w:pos="3600"/>
        </w:tabs>
        <w:spacing w:before="45" w:after="50" w:line="250" w:lineRule="auto"/>
        <w:jc w:val="both"/>
      </w:pPr>
    </w:p>
    <w:p w14:paraId="701DF64E" w14:textId="77777777" w:rsidR="00815FD0" w:rsidRDefault="00815FD0">
      <w:pPr>
        <w:tabs>
          <w:tab w:val="left" w:pos="720"/>
          <w:tab w:val="left" w:pos="1440"/>
          <w:tab w:val="left" w:pos="2160"/>
          <w:tab w:val="left" w:pos="2880"/>
          <w:tab w:val="left" w:pos="3600"/>
        </w:tabs>
        <w:spacing w:before="45" w:after="50" w:line="250" w:lineRule="auto"/>
        <w:jc w:val="both"/>
      </w:pPr>
    </w:p>
    <w:tbl>
      <w:tblPr>
        <w:tblW w:w="5000" w:type="pct"/>
        <w:tblInd w:w="10" w:type="dxa"/>
        <w:tblCellMar>
          <w:left w:w="10" w:type="dxa"/>
          <w:right w:w="10" w:type="dxa"/>
        </w:tblCellMar>
        <w:tblLook w:val="04A0" w:firstRow="1" w:lastRow="0" w:firstColumn="1" w:lastColumn="0" w:noHBand="0" w:noVBand="1"/>
      </w:tblPr>
      <w:tblGrid>
        <w:gridCol w:w="1413"/>
        <w:gridCol w:w="1412"/>
        <w:gridCol w:w="1412"/>
        <w:gridCol w:w="1412"/>
        <w:gridCol w:w="1412"/>
        <w:gridCol w:w="1412"/>
      </w:tblGrid>
      <w:tr w:rsidR="00815FD0" w14:paraId="6BF7CC86" w14:textId="77777777">
        <w:tblPrEx>
          <w:tblCellMar>
            <w:top w:w="0" w:type="dxa"/>
            <w:bottom w:w="0" w:type="dxa"/>
          </w:tblCellMar>
        </w:tblPrEx>
        <w:trPr>
          <w:cantSplit/>
        </w:trPr>
        <w:tc>
          <w:tcPr>
            <w:tcW w:w="800" w:type="pct"/>
          </w:tcPr>
          <w:p w14:paraId="487F114F" w14:textId="77777777" w:rsidR="00815FD0" w:rsidRDefault="00000000">
            <w:pPr>
              <w:tabs>
                <w:tab w:val="left" w:pos="720"/>
                <w:tab w:val="left" w:pos="1440"/>
                <w:tab w:val="left" w:pos="2160"/>
                <w:tab w:val="left" w:pos="2880"/>
                <w:tab w:val="left" w:pos="3600"/>
              </w:tabs>
              <w:spacing w:before="45" w:after="3" w:line="250" w:lineRule="auto"/>
              <w:jc w:val="center"/>
              <w:rPr>
                <w:rFonts w:cs="FrankRuehl"/>
                <w:szCs w:val="26"/>
                <w:rtl/>
              </w:rPr>
            </w:pPr>
            <w:r>
              <w:rPr>
                <w:rFonts w:cs="FrankRuehl" w:hint="cs"/>
                <w:szCs w:val="26"/>
                <w:rtl/>
              </w:rPr>
              <w:t>צחי הנגבי</w:t>
            </w:r>
          </w:p>
          <w:p w14:paraId="4DC7F105" w14:textId="77777777" w:rsidR="00815FD0" w:rsidRDefault="00000000">
            <w:pPr>
              <w:spacing w:before="45" w:after="3" w:line="250" w:lineRule="auto"/>
              <w:jc w:val="center"/>
            </w:pPr>
            <w:r>
              <w:rPr>
                <w:rFonts w:cs="FrankRuehl" w:hint="cs"/>
                <w:szCs w:val="22"/>
                <w:rtl/>
              </w:rPr>
              <w:t>שר המשפטים</w:t>
            </w:r>
          </w:p>
        </w:tc>
        <w:tc>
          <w:tcPr>
            <w:tcW w:w="800" w:type="pct"/>
          </w:tcPr>
          <w:p w14:paraId="0A76272F" w14:textId="77777777" w:rsidR="00815FD0" w:rsidRDefault="00815FD0">
            <w:pPr>
              <w:spacing w:before="45" w:after="3" w:line="250" w:lineRule="auto"/>
              <w:jc w:val="center"/>
            </w:pPr>
          </w:p>
          <w:p w14:paraId="71C9EBCC" w14:textId="77777777" w:rsidR="00815FD0" w:rsidRDefault="00815FD0">
            <w:pPr>
              <w:spacing w:before="45" w:after="3" w:line="250" w:lineRule="auto"/>
              <w:jc w:val="center"/>
            </w:pPr>
          </w:p>
        </w:tc>
        <w:tc>
          <w:tcPr>
            <w:tcW w:w="800" w:type="pct"/>
          </w:tcPr>
          <w:p w14:paraId="6A67D403" w14:textId="77777777" w:rsidR="00815FD0" w:rsidRDefault="00815FD0">
            <w:pPr>
              <w:spacing w:before="45" w:after="3" w:line="250" w:lineRule="auto"/>
              <w:jc w:val="center"/>
            </w:pPr>
          </w:p>
          <w:p w14:paraId="2C3D6E4D" w14:textId="77777777" w:rsidR="00815FD0" w:rsidRDefault="00815FD0">
            <w:pPr>
              <w:spacing w:before="45" w:after="3" w:line="250" w:lineRule="auto"/>
              <w:jc w:val="center"/>
            </w:pPr>
          </w:p>
        </w:tc>
        <w:tc>
          <w:tcPr>
            <w:tcW w:w="800" w:type="pct"/>
          </w:tcPr>
          <w:p w14:paraId="4BBD5970" w14:textId="77777777" w:rsidR="00815FD0" w:rsidRDefault="00000000">
            <w:pPr>
              <w:spacing w:before="45" w:after="3" w:line="250" w:lineRule="auto"/>
              <w:jc w:val="center"/>
            </w:pPr>
            <w:r>
              <w:rPr>
                <w:rFonts w:cs="FrankRuehl" w:hint="cs"/>
                <w:szCs w:val="26"/>
                <w:rtl/>
              </w:rPr>
              <w:t>בנימין נתניהו</w:t>
            </w:r>
          </w:p>
          <w:p w14:paraId="3A1CF2E2" w14:textId="77777777" w:rsidR="00815FD0" w:rsidRDefault="00000000">
            <w:pPr>
              <w:spacing w:before="45" w:after="3" w:line="250" w:lineRule="auto"/>
              <w:jc w:val="center"/>
            </w:pPr>
            <w:r>
              <w:rPr>
                <w:rFonts w:cs="FrankRuehl" w:hint="cs"/>
                <w:szCs w:val="22"/>
                <w:rtl/>
              </w:rPr>
              <w:t>ראש הממשלה</w:t>
            </w:r>
          </w:p>
        </w:tc>
        <w:tc>
          <w:tcPr>
            <w:tcW w:w="800" w:type="pct"/>
          </w:tcPr>
          <w:p w14:paraId="039E8FBD" w14:textId="77777777" w:rsidR="00815FD0" w:rsidRDefault="00815FD0">
            <w:pPr>
              <w:spacing w:before="45" w:after="3" w:line="250" w:lineRule="auto"/>
              <w:jc w:val="center"/>
            </w:pPr>
          </w:p>
          <w:p w14:paraId="74FCEBA5" w14:textId="77777777" w:rsidR="00815FD0" w:rsidRDefault="00815FD0">
            <w:pPr>
              <w:spacing w:before="45" w:after="3" w:line="250" w:lineRule="auto"/>
              <w:jc w:val="center"/>
            </w:pPr>
          </w:p>
        </w:tc>
        <w:tc>
          <w:tcPr>
            <w:tcW w:w="800" w:type="pct"/>
          </w:tcPr>
          <w:p w14:paraId="25E91CAB" w14:textId="77777777" w:rsidR="00815FD0" w:rsidRDefault="00815FD0">
            <w:pPr>
              <w:spacing w:before="45" w:after="3" w:line="250" w:lineRule="auto"/>
              <w:jc w:val="center"/>
            </w:pPr>
          </w:p>
          <w:p w14:paraId="7AFD8C2E" w14:textId="77777777" w:rsidR="00815FD0" w:rsidRDefault="00815FD0">
            <w:pPr>
              <w:spacing w:before="45" w:after="3" w:line="250" w:lineRule="auto"/>
              <w:jc w:val="center"/>
            </w:pPr>
          </w:p>
        </w:tc>
      </w:tr>
      <w:tr w:rsidR="00815FD0" w14:paraId="5CC364EC" w14:textId="77777777">
        <w:tblPrEx>
          <w:tblCellMar>
            <w:top w:w="0" w:type="dxa"/>
            <w:bottom w:w="0" w:type="dxa"/>
          </w:tblCellMar>
        </w:tblPrEx>
        <w:trPr>
          <w:cantSplit/>
        </w:trPr>
        <w:tc>
          <w:tcPr>
            <w:tcW w:w="800" w:type="pct"/>
          </w:tcPr>
          <w:p w14:paraId="1C6E2EC9" w14:textId="77777777" w:rsidR="00815FD0" w:rsidRDefault="00815FD0">
            <w:pPr>
              <w:spacing w:before="45" w:after="3" w:line="250" w:lineRule="auto"/>
              <w:jc w:val="center"/>
            </w:pPr>
          </w:p>
          <w:p w14:paraId="4A05A378" w14:textId="77777777" w:rsidR="00815FD0" w:rsidRDefault="00815FD0">
            <w:pPr>
              <w:spacing w:before="45" w:after="3" w:line="250" w:lineRule="auto"/>
              <w:jc w:val="center"/>
            </w:pPr>
          </w:p>
        </w:tc>
        <w:tc>
          <w:tcPr>
            <w:tcW w:w="800" w:type="pct"/>
          </w:tcPr>
          <w:p w14:paraId="555D1340" w14:textId="77777777" w:rsidR="00815FD0" w:rsidRDefault="00815FD0">
            <w:pPr>
              <w:spacing w:before="45" w:after="3" w:line="250" w:lineRule="auto"/>
              <w:jc w:val="center"/>
            </w:pPr>
          </w:p>
          <w:p w14:paraId="6EB8643A" w14:textId="77777777" w:rsidR="00815FD0" w:rsidRDefault="00815FD0">
            <w:pPr>
              <w:spacing w:before="45" w:after="3" w:line="250" w:lineRule="auto"/>
              <w:jc w:val="center"/>
            </w:pPr>
          </w:p>
        </w:tc>
        <w:tc>
          <w:tcPr>
            <w:tcW w:w="800" w:type="pct"/>
          </w:tcPr>
          <w:p w14:paraId="32E9E714" w14:textId="77777777" w:rsidR="00815FD0" w:rsidRDefault="00000000">
            <w:pPr>
              <w:spacing w:before="45" w:after="3" w:line="250" w:lineRule="auto"/>
              <w:jc w:val="center"/>
            </w:pPr>
            <w:r>
              <w:rPr>
                <w:rFonts w:cs="FrankRuehl" w:hint="cs"/>
                <w:szCs w:val="26"/>
                <w:rtl/>
              </w:rPr>
              <w:t>דן תיכון</w:t>
            </w:r>
          </w:p>
          <w:p w14:paraId="5252B438" w14:textId="77777777" w:rsidR="00815FD0" w:rsidRDefault="00000000">
            <w:pPr>
              <w:spacing w:before="45" w:after="3" w:line="250" w:lineRule="auto"/>
              <w:jc w:val="center"/>
            </w:pPr>
            <w:r>
              <w:rPr>
                <w:rFonts w:cs="FrankRuehl" w:hint="cs"/>
                <w:szCs w:val="22"/>
                <w:rtl/>
              </w:rPr>
              <w:t>יושב ראש הכנסת</w:t>
            </w:r>
          </w:p>
        </w:tc>
        <w:tc>
          <w:tcPr>
            <w:tcW w:w="800" w:type="pct"/>
          </w:tcPr>
          <w:p w14:paraId="49D8ACE6" w14:textId="77777777" w:rsidR="00815FD0" w:rsidRDefault="00815FD0">
            <w:pPr>
              <w:spacing w:before="45" w:after="3" w:line="250" w:lineRule="auto"/>
              <w:jc w:val="center"/>
            </w:pPr>
          </w:p>
          <w:p w14:paraId="186DC441" w14:textId="77777777" w:rsidR="00815FD0" w:rsidRDefault="00815FD0">
            <w:pPr>
              <w:spacing w:before="45" w:after="3" w:line="250" w:lineRule="auto"/>
              <w:jc w:val="center"/>
            </w:pPr>
          </w:p>
        </w:tc>
        <w:tc>
          <w:tcPr>
            <w:tcW w:w="800" w:type="pct"/>
          </w:tcPr>
          <w:p w14:paraId="460EBD24" w14:textId="77777777" w:rsidR="00815FD0" w:rsidRDefault="00815FD0">
            <w:pPr>
              <w:spacing w:before="45" w:after="3" w:line="250" w:lineRule="auto"/>
              <w:jc w:val="center"/>
            </w:pPr>
          </w:p>
          <w:p w14:paraId="3E7AEB84" w14:textId="77777777" w:rsidR="00815FD0" w:rsidRDefault="00815FD0">
            <w:pPr>
              <w:spacing w:before="45" w:after="3" w:line="250" w:lineRule="auto"/>
              <w:jc w:val="center"/>
            </w:pPr>
          </w:p>
        </w:tc>
        <w:tc>
          <w:tcPr>
            <w:tcW w:w="800" w:type="pct"/>
          </w:tcPr>
          <w:p w14:paraId="0CA9EDD7" w14:textId="77777777" w:rsidR="00815FD0" w:rsidRDefault="00000000">
            <w:pPr>
              <w:spacing w:before="45" w:after="3" w:line="250" w:lineRule="auto"/>
              <w:jc w:val="center"/>
            </w:pPr>
            <w:r>
              <w:rPr>
                <w:rFonts w:cs="FrankRuehl" w:hint="cs"/>
                <w:szCs w:val="26"/>
                <w:rtl/>
              </w:rPr>
              <w:t>עזר ויצמן</w:t>
            </w:r>
          </w:p>
          <w:p w14:paraId="6E15FE23" w14:textId="77777777" w:rsidR="00815FD0" w:rsidRDefault="00000000">
            <w:pPr>
              <w:spacing w:before="45" w:after="3" w:line="250" w:lineRule="auto"/>
              <w:jc w:val="center"/>
            </w:pPr>
            <w:r>
              <w:rPr>
                <w:rFonts w:cs="FrankRuehl" w:hint="cs"/>
                <w:szCs w:val="22"/>
                <w:rtl/>
              </w:rPr>
              <w:t>נשיא המדינה</w:t>
            </w:r>
          </w:p>
        </w:tc>
      </w:tr>
    </w:tbl>
    <w:p w14:paraId="4F039444" w14:textId="77777777" w:rsidR="00815FD0" w:rsidRDefault="00815FD0">
      <w:pPr>
        <w:tabs>
          <w:tab w:val="left" w:pos="720"/>
          <w:tab w:val="left" w:pos="1440"/>
          <w:tab w:val="left" w:pos="2160"/>
          <w:tab w:val="left" w:pos="2880"/>
          <w:tab w:val="left" w:pos="3600"/>
        </w:tabs>
        <w:spacing w:before="45" w:after="50" w:line="250" w:lineRule="auto"/>
        <w:jc w:val="both"/>
      </w:pPr>
    </w:p>
    <w:sectPr w:rsidR="00815FD0">
      <w:headerReference w:type="default" r:id="rId6"/>
      <w:footerReference w:type="default" r:id="rId7"/>
      <w:pgSz w:w="12240" w:h="15840"/>
      <w:pgMar w:top="1200" w:right="2267" w:bottom="400" w:left="150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E18B" w14:textId="77777777" w:rsidR="00620C93" w:rsidRDefault="00620C93">
      <w:pPr>
        <w:spacing w:after="0" w:line="240" w:lineRule="auto"/>
      </w:pPr>
      <w:r>
        <w:separator/>
      </w:r>
    </w:p>
  </w:endnote>
  <w:endnote w:type="continuationSeparator" w:id="0">
    <w:p w14:paraId="329F8EA1" w14:textId="77777777" w:rsidR="00620C93" w:rsidRDefault="0062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FDEB" w14:textId="77777777" w:rsidR="00815FD0" w:rsidRDefault="00000000">
    <w:pPr>
      <w:spacing w:before="45" w:after="5" w:line="250" w:lineRule="auto"/>
      <w:jc w:val="center"/>
    </w:pPr>
    <w:r>
      <w:rPr>
        <w:rFonts w:cs="FrankRuehl" w:hint="cs"/>
        <w:rtl/>
      </w:rPr>
      <w:fldChar w:fldCharType="begin"/>
    </w:r>
    <w:r>
      <w:rPr>
        <w:rFonts w:cs="FrankRuehl" w:hint="cs"/>
        <w:rtl/>
      </w:rPr>
      <w:instrText>Page</w:instrText>
    </w:r>
    <w:r>
      <w:rPr>
        <w:rFonts w:cs="FrankRuehl"/>
        <w:rtl/>
      </w:rPr>
      <w:fldChar w:fldCharType="separate"/>
    </w:r>
    <w:r w:rsidR="00536A5E">
      <w:rPr>
        <w:rFonts w:cs="FrankRuehl"/>
        <w:noProof/>
        <w:rtl/>
      </w:rPr>
      <w:t>1</w:t>
    </w:r>
    <w:r>
      <w:rPr>
        <w:rFonts w:cs="FrankRuehl" w:hint="cs"/>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3530" w14:textId="77777777" w:rsidR="00620C93" w:rsidRDefault="00620C93">
      <w:pPr>
        <w:spacing w:after="0" w:line="240" w:lineRule="auto"/>
      </w:pPr>
      <w:r>
        <w:separator/>
      </w:r>
    </w:p>
  </w:footnote>
  <w:footnote w:type="continuationSeparator" w:id="0">
    <w:p w14:paraId="580A6FBA" w14:textId="77777777" w:rsidR="00620C93" w:rsidRDefault="0062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FC6D" w14:textId="77777777" w:rsidR="00815FD0" w:rsidRDefault="00000000">
    <w:pPr>
      <w:spacing w:before="45" w:after="5" w:line="250" w:lineRule="auto"/>
      <w:jc w:val="center"/>
    </w:pPr>
    <w:r>
      <w:rPr>
        <w:rFonts w:cs="FrankRuehl" w:hint="cs"/>
        <w:rtl/>
      </w:rPr>
      <w:t>חוק חופש המידע, תשנ"ח-1998, נוסח עדכני נכון ליום 07.12.2023</w:t>
    </w:r>
  </w:p>
  <w:p w14:paraId="42C3BB5D" w14:textId="77777777" w:rsidR="00815FD0" w:rsidRDefault="00815FD0">
    <w:pPr>
      <w:pBdr>
        <w:top w:val="single" w:sz="5"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D0"/>
    <w:rsid w:val="00536A5E"/>
    <w:rsid w:val="00620C93"/>
    <w:rsid w:val="00815FD0"/>
    <w:rsid w:val="00D639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1C55"/>
  <w15:docId w15:val="{A284743F-F6DC-4089-B8AA-70289BBB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3094</Words>
  <Characters>14358</Characters>
  <Application>Microsoft Office Word</Application>
  <DocSecurity>0</DocSecurity>
  <Lines>220</Lines>
  <Paragraphs>20</Paragraphs>
  <ScaleCrop>false</ScaleCrop>
  <Company>Israeli Association of Community Centers</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Shahar Yuval</dc:creator>
  <cp:lastModifiedBy>שחר יובל</cp:lastModifiedBy>
  <cp:revision>2</cp:revision>
  <dcterms:created xsi:type="dcterms:W3CDTF">2025-10-21T05:42:00Z</dcterms:created>
  <dcterms:modified xsi:type="dcterms:W3CDTF">2025-10-21T05:42:00Z</dcterms:modified>
</cp:coreProperties>
</file>